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olor w:val="auto"/>
          <w:sz w:val="32"/>
          <w:szCs w:val="32"/>
        </w:rPr>
      </w:pPr>
      <w:bookmarkStart w:id="0" w:name="_GoBack"/>
      <w:bookmarkEnd w:id="0"/>
      <w:r>
        <w:rPr>
          <w:rFonts w:hint="eastAsia" w:ascii="黑体" w:hAnsi="黑体" w:eastAsia="黑体"/>
          <w:color w:val="auto"/>
          <w:sz w:val="32"/>
          <w:szCs w:val="32"/>
        </w:rPr>
        <w:t>附件</w:t>
      </w:r>
      <w:r>
        <w:rPr>
          <w:rFonts w:ascii="黑体" w:hAnsi="黑体" w:eastAsia="黑体"/>
          <w:color w:val="auto"/>
          <w:sz w:val="32"/>
          <w:szCs w:val="32"/>
        </w:rPr>
        <w:t>1</w:t>
      </w:r>
    </w:p>
    <w:p>
      <w:pPr>
        <w:spacing w:line="600" w:lineRule="exact"/>
        <w:ind w:left="1000" w:leftChars="400" w:hanging="160" w:hangingChars="50"/>
        <w:rPr>
          <w:rFonts w:ascii="仿宋_GB2312" w:eastAsia="仿宋_GB2312"/>
          <w:b/>
          <w:color w:val="auto"/>
          <w:sz w:val="32"/>
          <w:szCs w:val="32"/>
        </w:rPr>
      </w:pPr>
    </w:p>
    <w:p>
      <w:pPr>
        <w:spacing w:line="600" w:lineRule="exact"/>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《厦门市知识产权发展专项资金管理办法》相关条款</w:t>
      </w:r>
    </w:p>
    <w:p>
      <w:pPr>
        <w:rPr>
          <w:color w:val="auto"/>
        </w:rPr>
      </w:pPr>
    </w:p>
    <w:tbl>
      <w:tblPr>
        <w:tblStyle w:val="6"/>
        <w:tblW w:w="5000" w:type="pct"/>
        <w:tblCellSpacing w:w="0" w:type="dxa"/>
        <w:tblInd w:w="0" w:type="dxa"/>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Layout w:type="autofit"/>
        <w:tblCellMar>
          <w:top w:w="0" w:type="dxa"/>
          <w:left w:w="0" w:type="dxa"/>
          <w:bottom w:w="0" w:type="dxa"/>
          <w:right w:w="0" w:type="dxa"/>
        </w:tblCellMar>
      </w:tblPr>
      <w:tblGrid>
        <w:gridCol w:w="1200"/>
        <w:gridCol w:w="3762"/>
        <w:gridCol w:w="1721"/>
        <w:gridCol w:w="1829"/>
      </w:tblGrid>
      <w:tr>
        <w:tblPrEx>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CellMar>
            <w:top w:w="0" w:type="dxa"/>
            <w:left w:w="0" w:type="dxa"/>
            <w:bottom w:w="0" w:type="dxa"/>
            <w:right w:w="0" w:type="dxa"/>
          </w:tblCellMar>
        </w:tblPrEx>
        <w:trPr>
          <w:tblCellSpacing w:w="0" w:type="dxa"/>
        </w:trPr>
        <w:tc>
          <w:tcPr>
            <w:tcW w:w="1200"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索引号</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ascii="微软雅黑" w:hAnsi="微软雅黑" w:eastAsia="微软雅黑" w:cs="宋体"/>
                <w:color w:val="auto"/>
                <w:kern w:val="0"/>
                <w:sz w:val="24"/>
                <w:szCs w:val="24"/>
              </w:rPr>
              <w:t>XM00108-02-00-2020-002</w:t>
            </w:r>
          </w:p>
        </w:tc>
        <w:tc>
          <w:tcPr>
            <w:tcW w:w="1468"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主题分类</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规范性文件</w:t>
            </w:r>
          </w:p>
        </w:tc>
      </w:tr>
      <w:tr>
        <w:tblPrEx>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CellMar>
            <w:top w:w="0" w:type="dxa"/>
            <w:left w:w="0" w:type="dxa"/>
            <w:bottom w:w="0" w:type="dxa"/>
            <w:right w:w="0" w:type="dxa"/>
          </w:tblCellMar>
        </w:tblPrEx>
        <w:trPr>
          <w:tblCellSpacing w:w="0" w:type="dxa"/>
        </w:trPr>
        <w:tc>
          <w:tcPr>
            <w:tcW w:w="1200"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发布机构</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厦门市市场监督管理局厦门市财政局</w:t>
            </w:r>
          </w:p>
        </w:tc>
        <w:tc>
          <w:tcPr>
            <w:tcW w:w="1468"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文号</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厦市监规〔</w:t>
            </w:r>
            <w:r>
              <w:rPr>
                <w:rFonts w:ascii="微软雅黑" w:hAnsi="微软雅黑" w:eastAsia="微软雅黑" w:cs="宋体"/>
                <w:color w:val="auto"/>
                <w:kern w:val="0"/>
                <w:sz w:val="24"/>
                <w:szCs w:val="24"/>
              </w:rPr>
              <w:t>2020</w:t>
            </w:r>
            <w:r>
              <w:rPr>
                <w:rFonts w:hint="eastAsia" w:ascii="微软雅黑" w:hAnsi="微软雅黑" w:eastAsia="微软雅黑" w:cs="宋体"/>
                <w:color w:val="auto"/>
                <w:kern w:val="0"/>
                <w:sz w:val="24"/>
                <w:szCs w:val="24"/>
              </w:rPr>
              <w:t>〕</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号</w:t>
            </w:r>
          </w:p>
        </w:tc>
      </w:tr>
      <w:tr>
        <w:tblPrEx>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CellMar>
            <w:top w:w="0" w:type="dxa"/>
            <w:left w:w="0" w:type="dxa"/>
            <w:bottom w:w="0" w:type="dxa"/>
            <w:right w:w="0" w:type="dxa"/>
          </w:tblCellMar>
        </w:tblPrEx>
        <w:trPr>
          <w:tblCellSpacing w:w="0" w:type="dxa"/>
        </w:trPr>
        <w:tc>
          <w:tcPr>
            <w:tcW w:w="1200"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时效性：</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有效</w:t>
            </w:r>
          </w:p>
        </w:tc>
        <w:tc>
          <w:tcPr>
            <w:tcW w:w="1468"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发布时间：</w:t>
            </w:r>
          </w:p>
        </w:tc>
        <w:tc>
          <w:tcPr>
            <w:tcW w:w="0" w:type="auto"/>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ascii="微软雅黑" w:hAnsi="微软雅黑" w:eastAsia="微软雅黑" w:cs="宋体"/>
                <w:color w:val="auto"/>
                <w:kern w:val="0"/>
                <w:sz w:val="24"/>
                <w:szCs w:val="24"/>
              </w:rPr>
              <w:t>2020</w:t>
            </w:r>
            <w:r>
              <w:rPr>
                <w:rFonts w:hint="eastAsia" w:ascii="微软雅黑" w:hAnsi="微软雅黑" w:eastAsia="微软雅黑" w:cs="宋体"/>
                <w:color w:val="auto"/>
                <w:kern w:val="0"/>
                <w:sz w:val="24"/>
                <w:szCs w:val="24"/>
              </w:rPr>
              <w:t>年</w:t>
            </w:r>
            <w:r>
              <w:rPr>
                <w:rFonts w:ascii="微软雅黑" w:hAnsi="微软雅黑" w:eastAsia="微软雅黑" w:cs="宋体"/>
                <w:color w:val="auto"/>
                <w:kern w:val="0"/>
                <w:sz w:val="24"/>
                <w:szCs w:val="24"/>
              </w:rPr>
              <w:t>2</w:t>
            </w:r>
            <w:r>
              <w:rPr>
                <w:rFonts w:hint="eastAsia" w:ascii="微软雅黑" w:hAnsi="微软雅黑" w:eastAsia="微软雅黑" w:cs="宋体"/>
                <w:color w:val="auto"/>
                <w:kern w:val="0"/>
                <w:sz w:val="24"/>
                <w:szCs w:val="24"/>
              </w:rPr>
              <w:t>月</w:t>
            </w:r>
            <w:r>
              <w:rPr>
                <w:rFonts w:ascii="微软雅黑" w:hAnsi="微软雅黑" w:eastAsia="微软雅黑" w:cs="宋体"/>
                <w:color w:val="auto"/>
                <w:kern w:val="0"/>
                <w:sz w:val="24"/>
                <w:szCs w:val="24"/>
              </w:rPr>
              <w:t>18</w:t>
            </w:r>
            <w:r>
              <w:rPr>
                <w:rFonts w:hint="eastAsia" w:ascii="微软雅黑" w:hAnsi="微软雅黑" w:eastAsia="微软雅黑" w:cs="宋体"/>
                <w:color w:val="auto"/>
                <w:kern w:val="0"/>
                <w:sz w:val="24"/>
                <w:szCs w:val="24"/>
              </w:rPr>
              <w:t>日</w:t>
            </w:r>
          </w:p>
        </w:tc>
      </w:tr>
      <w:tr>
        <w:tblPrEx>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CellMar>
            <w:top w:w="0" w:type="dxa"/>
            <w:left w:w="0" w:type="dxa"/>
            <w:bottom w:w="0" w:type="dxa"/>
            <w:right w:w="0" w:type="dxa"/>
          </w:tblCellMar>
        </w:tblPrEx>
        <w:trPr>
          <w:tblCellSpacing w:w="0" w:type="dxa"/>
        </w:trPr>
        <w:tc>
          <w:tcPr>
            <w:tcW w:w="1200" w:type="dxa"/>
            <w:shd w:val="clear" w:color="auto" w:fill="F4F6F7"/>
            <w:noWrap w:val="0"/>
            <w:vAlign w:val="center"/>
          </w:tcPr>
          <w:p>
            <w:pPr>
              <w:widowControl/>
              <w:spacing w:line="500" w:lineRule="atLeast"/>
              <w:jc w:val="center"/>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标题：</w:t>
            </w:r>
          </w:p>
        </w:tc>
        <w:tc>
          <w:tcPr>
            <w:tcW w:w="0" w:type="auto"/>
            <w:gridSpan w:val="3"/>
            <w:shd w:val="clear" w:color="auto" w:fill="FFFFFF"/>
            <w:noWrap w:val="0"/>
            <w:tcMar>
              <w:top w:w="0" w:type="dxa"/>
              <w:left w:w="180" w:type="dxa"/>
              <w:bottom w:w="0" w:type="dxa"/>
              <w:right w:w="180" w:type="dxa"/>
            </w:tcMar>
            <w:vAlign w:val="center"/>
          </w:tcPr>
          <w:p>
            <w:pPr>
              <w:widowControl/>
              <w:spacing w:line="500" w:lineRule="atLeast"/>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厦门市市场监督管理局厦门市财政局关于印发厦门市知识产权发展专项资金管理办法的通知</w:t>
            </w:r>
          </w:p>
        </w:tc>
      </w:tr>
    </w:tbl>
    <w:p>
      <w:pPr>
        <w:spacing w:line="560" w:lineRule="exact"/>
        <w:ind w:firstLine="640" w:firstLineChars="200"/>
        <w:rPr>
          <w:rFonts w:ascii="仿宋_GB2312" w:eastAsia="仿宋_GB2312" w:cs="仿宋_GB2312"/>
          <w:color w:val="auto"/>
          <w:sz w:val="32"/>
          <w:szCs w:val="32"/>
        </w:rPr>
      </w:pP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第十四条</w:t>
      </w:r>
      <w:r>
        <w:rPr>
          <w:rFonts w:ascii="仿宋_GB2312" w:eastAsia="仿宋_GB2312" w:cs="仿宋_GB2312"/>
          <w:color w:val="auto"/>
          <w:sz w:val="32"/>
          <w:szCs w:val="32"/>
        </w:rPr>
        <w:t>  </w:t>
      </w:r>
      <w:r>
        <w:rPr>
          <w:rFonts w:hint="eastAsia" w:ascii="仿宋_GB2312" w:eastAsia="仿宋_GB2312" w:cs="仿宋_GB2312"/>
          <w:color w:val="auto"/>
          <w:sz w:val="32"/>
          <w:szCs w:val="32"/>
        </w:rPr>
        <w:t>支持企业利用知识产权（专利和商标）进行质押融资，对企业以专利、商标质押方式向银行贷款所支付的利息，在还本付息后可申请财政贴息，贴息比例最高</w:t>
      </w:r>
      <w:r>
        <w:rPr>
          <w:rFonts w:ascii="仿宋_GB2312" w:eastAsia="仿宋_GB2312" w:cs="仿宋_GB2312"/>
          <w:color w:val="auto"/>
          <w:sz w:val="32"/>
          <w:szCs w:val="32"/>
        </w:rPr>
        <w:t>60</w:t>
      </w:r>
      <w:r>
        <w:rPr>
          <w:rFonts w:hint="eastAsia" w:ascii="仿宋_GB2312" w:eastAsia="仿宋_GB2312" w:cs="仿宋_GB2312"/>
          <w:color w:val="auto"/>
          <w:sz w:val="32"/>
          <w:szCs w:val="32"/>
        </w:rPr>
        <w:t>％，每家企业每年度享受贴息总额最高可达到</w:t>
      </w:r>
      <w:r>
        <w:rPr>
          <w:rFonts w:ascii="仿宋_GB2312" w:eastAsia="仿宋_GB2312" w:cs="仿宋_GB2312"/>
          <w:color w:val="auto"/>
          <w:sz w:val="32"/>
          <w:szCs w:val="32"/>
        </w:rPr>
        <w:t>30</w:t>
      </w:r>
      <w:r>
        <w:rPr>
          <w:rFonts w:hint="eastAsia" w:ascii="仿宋_GB2312" w:eastAsia="仿宋_GB2312" w:cs="仿宋_GB2312"/>
          <w:color w:val="auto"/>
          <w:sz w:val="32"/>
          <w:szCs w:val="32"/>
        </w:rPr>
        <w:t>万元。</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对中小微企业利用知识产权（专利和商标）贷款实际发生的保险费、担保费、评估费按照贷款金额</w:t>
      </w:r>
      <w:r>
        <w:rPr>
          <w:rFonts w:ascii="仿宋_GB2312" w:eastAsia="仿宋_GB2312" w:cs="仿宋_GB2312"/>
          <w:color w:val="auto"/>
          <w:sz w:val="32"/>
          <w:szCs w:val="32"/>
        </w:rPr>
        <w:t>*1.5</w:t>
      </w:r>
      <w:r>
        <w:rPr>
          <w:rFonts w:hint="eastAsia" w:ascii="仿宋_GB2312" w:eastAsia="仿宋_GB2312" w:cs="仿宋_GB2312"/>
          <w:color w:val="auto"/>
          <w:sz w:val="32"/>
          <w:szCs w:val="32"/>
        </w:rPr>
        <w:t>％</w:t>
      </w:r>
      <w:r>
        <w:rPr>
          <w:rFonts w:ascii="仿宋_GB2312" w:eastAsia="仿宋_GB2312" w:cs="仿宋_GB2312"/>
          <w:color w:val="auto"/>
          <w:sz w:val="32"/>
          <w:szCs w:val="32"/>
        </w:rPr>
        <w:t>/</w:t>
      </w:r>
      <w:r>
        <w:rPr>
          <w:rFonts w:hint="eastAsia" w:ascii="仿宋_GB2312" w:eastAsia="仿宋_GB2312" w:cs="仿宋_GB2312"/>
          <w:color w:val="auto"/>
          <w:sz w:val="32"/>
          <w:szCs w:val="32"/>
        </w:rPr>
        <w:t>年、</w:t>
      </w:r>
      <w:r>
        <w:rPr>
          <w:rFonts w:ascii="仿宋_GB2312" w:eastAsia="仿宋_GB2312" w:cs="仿宋_GB2312"/>
          <w:color w:val="auto"/>
          <w:sz w:val="32"/>
          <w:szCs w:val="32"/>
        </w:rPr>
        <w:t>1.0</w:t>
      </w:r>
      <w:r>
        <w:rPr>
          <w:rFonts w:hint="eastAsia" w:ascii="仿宋_GB2312" w:eastAsia="仿宋_GB2312" w:cs="仿宋_GB2312"/>
          <w:color w:val="auto"/>
          <w:sz w:val="32"/>
          <w:szCs w:val="32"/>
        </w:rPr>
        <w:t>％</w:t>
      </w:r>
      <w:r>
        <w:rPr>
          <w:rFonts w:ascii="仿宋_GB2312" w:eastAsia="仿宋_GB2312" w:cs="仿宋_GB2312"/>
          <w:color w:val="auto"/>
          <w:sz w:val="32"/>
          <w:szCs w:val="32"/>
        </w:rPr>
        <w:t>/</w:t>
      </w:r>
      <w:r>
        <w:rPr>
          <w:rFonts w:hint="eastAsia" w:ascii="仿宋_GB2312" w:eastAsia="仿宋_GB2312" w:cs="仿宋_GB2312"/>
          <w:color w:val="auto"/>
          <w:sz w:val="32"/>
          <w:szCs w:val="32"/>
        </w:rPr>
        <w:t>年和</w:t>
      </w:r>
      <w:r>
        <w:rPr>
          <w:rFonts w:ascii="仿宋_GB2312" w:eastAsia="仿宋_GB2312" w:cs="仿宋_GB2312"/>
          <w:color w:val="auto"/>
          <w:sz w:val="32"/>
          <w:szCs w:val="32"/>
        </w:rPr>
        <w:t>0.5</w:t>
      </w:r>
      <w:r>
        <w:rPr>
          <w:rFonts w:hint="eastAsia" w:ascii="仿宋_GB2312" w:eastAsia="仿宋_GB2312" w:cs="仿宋_GB2312"/>
          <w:color w:val="auto"/>
          <w:sz w:val="32"/>
          <w:szCs w:val="32"/>
        </w:rPr>
        <w:t>％</w:t>
      </w:r>
      <w:r>
        <w:rPr>
          <w:rFonts w:ascii="仿宋_GB2312" w:eastAsia="仿宋_GB2312" w:cs="仿宋_GB2312"/>
          <w:color w:val="auto"/>
          <w:sz w:val="32"/>
          <w:szCs w:val="32"/>
        </w:rPr>
        <w:t>/</w:t>
      </w:r>
      <w:r>
        <w:rPr>
          <w:rFonts w:hint="eastAsia" w:ascii="仿宋_GB2312" w:eastAsia="仿宋_GB2312" w:cs="仿宋_GB2312"/>
          <w:color w:val="auto"/>
          <w:sz w:val="32"/>
          <w:szCs w:val="32"/>
        </w:rPr>
        <w:t>年补贴，单笔业务补贴最高分别不超过</w:t>
      </w:r>
      <w:r>
        <w:rPr>
          <w:rFonts w:ascii="仿宋_GB2312" w:eastAsia="仿宋_GB2312" w:cs="仿宋_GB2312"/>
          <w:color w:val="auto"/>
          <w:sz w:val="32"/>
          <w:szCs w:val="32"/>
        </w:rPr>
        <w:t>7.5</w:t>
      </w:r>
      <w:r>
        <w:rPr>
          <w:rFonts w:hint="eastAsia" w:ascii="仿宋_GB2312" w:eastAsia="仿宋_GB2312" w:cs="仿宋_GB2312"/>
          <w:color w:val="auto"/>
          <w:sz w:val="32"/>
          <w:szCs w:val="32"/>
        </w:rPr>
        <w:t>万元、</w:t>
      </w:r>
      <w:r>
        <w:rPr>
          <w:rFonts w:ascii="仿宋_GB2312" w:eastAsia="仿宋_GB2312" w:cs="仿宋_GB2312"/>
          <w:color w:val="auto"/>
          <w:sz w:val="32"/>
          <w:szCs w:val="32"/>
        </w:rPr>
        <w:t>10</w:t>
      </w:r>
      <w:r>
        <w:rPr>
          <w:rFonts w:hint="eastAsia" w:ascii="仿宋_GB2312" w:eastAsia="仿宋_GB2312" w:cs="仿宋_GB2312"/>
          <w:color w:val="auto"/>
          <w:sz w:val="32"/>
          <w:szCs w:val="32"/>
        </w:rPr>
        <w:t>万元和</w:t>
      </w:r>
      <w:r>
        <w:rPr>
          <w:rFonts w:ascii="仿宋_GB2312" w:eastAsia="仿宋_GB2312" w:cs="仿宋_GB2312"/>
          <w:color w:val="auto"/>
          <w:sz w:val="32"/>
          <w:szCs w:val="32"/>
        </w:rPr>
        <w:t>5</w:t>
      </w:r>
      <w:r>
        <w:rPr>
          <w:rFonts w:hint="eastAsia" w:ascii="仿宋_GB2312" w:eastAsia="仿宋_GB2312" w:cs="仿宋_GB2312"/>
          <w:color w:val="auto"/>
          <w:sz w:val="32"/>
          <w:szCs w:val="32"/>
        </w:rPr>
        <w:t>万元。</w:t>
      </w: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600" w:lineRule="exact"/>
        <w:jc w:val="center"/>
        <w:rPr>
          <w:rFonts w:ascii="黑体" w:hAnsi="黑体" w:eastAsia="黑体"/>
          <w:b/>
          <w:sz w:val="32"/>
          <w:szCs w:val="32"/>
        </w:rPr>
      </w:pPr>
      <w:r>
        <w:rPr>
          <w:rFonts w:ascii="仿宋_GB2312" w:eastAsia="仿宋_GB2312"/>
          <w:b/>
          <w:color w:val="040404"/>
          <w:sz w:val="32"/>
          <w:szCs w:val="32"/>
        </w:rPr>
        <w:t>202</w:t>
      </w:r>
      <w:r>
        <w:rPr>
          <w:rFonts w:hint="eastAsia" w:ascii="仿宋_GB2312" w:eastAsia="仿宋_GB2312"/>
          <w:b/>
          <w:color w:val="040404"/>
          <w:sz w:val="32"/>
          <w:szCs w:val="32"/>
          <w:lang w:val="en-US" w:eastAsia="zh-CN"/>
        </w:rPr>
        <w:t>2</w:t>
      </w:r>
      <w:r>
        <w:rPr>
          <w:rFonts w:hint="eastAsia" w:ascii="仿宋_GB2312" w:eastAsia="仿宋_GB2312"/>
          <w:b/>
          <w:color w:val="040404"/>
          <w:sz w:val="32"/>
          <w:szCs w:val="32"/>
        </w:rPr>
        <w:t>年第</w:t>
      </w:r>
      <w:r>
        <w:rPr>
          <w:rFonts w:hint="eastAsia" w:ascii="仿宋_GB2312" w:eastAsia="仿宋_GB2312"/>
          <w:b/>
          <w:color w:val="040404"/>
          <w:sz w:val="32"/>
          <w:szCs w:val="32"/>
          <w:lang w:val="en-US" w:eastAsia="zh-CN"/>
        </w:rPr>
        <w:t>一</w:t>
      </w:r>
      <w:r>
        <w:rPr>
          <w:rFonts w:hint="eastAsia" w:ascii="仿宋_GB2312" w:eastAsia="仿宋_GB2312"/>
          <w:b/>
          <w:color w:val="040404"/>
          <w:sz w:val="32"/>
          <w:szCs w:val="32"/>
        </w:rPr>
        <w:t>批知识产权质押贷款利息补贴项目</w:t>
      </w:r>
    </w:p>
    <w:p>
      <w:pPr>
        <w:spacing w:line="280" w:lineRule="exact"/>
        <w:rPr>
          <w:rFonts w:ascii="黑体" w:hAnsi="黑体" w:eastAsia="黑体"/>
          <w:sz w:val="32"/>
          <w:szCs w:val="32"/>
        </w:rPr>
      </w:pPr>
    </w:p>
    <w:tbl>
      <w:tblPr>
        <w:tblStyle w:val="6"/>
        <w:tblW w:w="5000" w:type="pct"/>
        <w:tblInd w:w="0" w:type="dxa"/>
        <w:tblLayout w:type="autofit"/>
        <w:tblCellMar>
          <w:top w:w="0" w:type="dxa"/>
          <w:left w:w="0" w:type="dxa"/>
          <w:bottom w:w="0" w:type="dxa"/>
          <w:right w:w="0" w:type="dxa"/>
        </w:tblCellMar>
      </w:tblPr>
      <w:tblGrid>
        <w:gridCol w:w="1111"/>
        <w:gridCol w:w="4404"/>
        <w:gridCol w:w="2817"/>
      </w:tblGrid>
      <w:tr>
        <w:tblPrEx>
          <w:tblCellMar>
            <w:top w:w="0" w:type="dxa"/>
            <w:left w:w="0" w:type="dxa"/>
            <w:bottom w:w="0" w:type="dxa"/>
            <w:right w:w="0" w:type="dxa"/>
          </w:tblCellMar>
        </w:tblPrEx>
        <w:trPr>
          <w:trHeight w:val="660"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ascii="宋体" w:cs="宋体"/>
                <w:b/>
                <w:color w:val="000000"/>
                <w:sz w:val="20"/>
                <w:szCs w:val="20"/>
              </w:rPr>
            </w:pPr>
            <w:r>
              <w:rPr>
                <w:rFonts w:hint="eastAsia" w:ascii="宋体" w:hAnsi="宋体" w:eastAsia="宋体" w:cs="宋体"/>
                <w:i w:val="0"/>
                <w:color w:val="000000"/>
                <w:kern w:val="0"/>
                <w:sz w:val="16"/>
                <w:szCs w:val="16"/>
                <w:u w:val="none"/>
                <w:lang w:val="en-US" w:eastAsia="zh-CN" w:bidi="ar"/>
              </w:rPr>
              <w:t>序号</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企业名称</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拟补贴金额（元）</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安邦（厦门）生物科技有限公司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57639.59</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奥谱天成（厦门）光电有限公司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52092.63</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宝淇（厦门）服饰有限公司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210729.15</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福建凯博尔智能装备有限公司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43379.18</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福建求实智能股份有限公司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101161.65</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福建省龙竣金属制品有限公司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158277.78</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福建首冠电力科技工程有限公司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193569.44</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福建通泰木业有限公司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248638.75</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福建微水环保股份有限公司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97586.82</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福建众首建设工程有限公司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161461.82</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冠星迦南门业（厦门）有限公司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250501.04</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冠佑（厦门）进出口有限公司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229234.7</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海森林（厦门）净化科技有限公司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58552.07</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韩露珠（厦门）环保科技有限公司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60666.66</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华尔达（厦门）塑胶有限公司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174302.11</w:t>
            </w:r>
          </w:p>
        </w:tc>
      </w:tr>
      <w:tr>
        <w:tblPrEx>
          <w:tblCellMar>
            <w:top w:w="0" w:type="dxa"/>
            <w:left w:w="0" w:type="dxa"/>
            <w:bottom w:w="0" w:type="dxa"/>
            <w:right w:w="0" w:type="dxa"/>
          </w:tblCellMar>
        </w:tblPrEx>
        <w:trPr>
          <w:trHeight w:val="559"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华祥苑茶业股份有限公司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263611.12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汇精（厦门）电子科技有限公司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138833.35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集有（厦门）实业有限公司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219256.92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建盟设计集团有限公司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211458.33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捷智（厦门）制动系统有限公司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83568.35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量道（厦门）新能源科技有限公司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55022.91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耐立特科技有限公司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44275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沁浩膜技术（厦门）有限公司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34326.41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瑞之路（厦门）眼镜科技有限公司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188888.87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厦门安东电子有限公司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145775.01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厦门安捷通国际货运代理有限公司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238759.71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厦门安科科技有限公司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300000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厦门澳仕达电子有限公司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208751.69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厦门百利控股有限公司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242666.66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厦门佰欧环境智能科技有限公司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9250.7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厦门佰事兴新材料科技有限公司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26575.7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厦门柏润氟材料科技有限公司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135877.08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厦门柏事特信息科技有限公司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219916.66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厦门宝时达轴承有限公司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186992.34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厦门贝多卫浴有限公司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201000.03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厦门宾得利眼镜有限公司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152387.5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厦门沧润建筑科技有限公司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95715.29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厦门程胜箱包有限公司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58591.94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厦门传茗生物科技有限公司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9128.49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厦门大白科技有限公司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48927.08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厦门大力神机械工业有限公司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94378.48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厦门大拇哥动漫股份有限公司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202222.41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厦门大蓄网络科技有限公司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230555.58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厦门当盛新材料有限公司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242666.65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厦门德大食品有限公司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247225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厦门顶护体育用品有限公司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56145.84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厦门鼎立纸业有限公司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270104.8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厦门鼎盛世嘉贸易有限公司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172083.35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厦门鼎艺雕塑有限公司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199333.37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厦门鼎运智能股份有限公司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17806.25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厦门东生荣科技股份有限公司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116344.09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厦门东鑫达模塑科技有限公司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72036.81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厦门多彩光电子科技有限公司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202222.2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厦门锋元机械设备有限公司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91250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厦门富莱仕影视器材有限公司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18503.5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厦门富思特新材料科技有限公司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49247.91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厦门高鼎环境科技股份有限公司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117225.7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厦门顾德益电器有限公司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242666.66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厦门冠音泰科技有限公司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219916.66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厦门冠宇科技股份有限公司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198848.59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厦门广泓工贸有限公司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50320.82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厦门海橡塑胶有限公司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116000.01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厦门海源鑫电子科技有限公司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100406.25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厦门浩晨自动化技术有限公司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98962.5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厦门颢为智控科技有限公司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80200.09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厦门宏发先科新型建材有限公司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232297.24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厦门华数电力科技有限公司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62942.69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厦门华信安电子科技有限公司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217717.5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厦门环康环保科技股份有限公司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47708.33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厦门汇大蓄知识产权服务有限公司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230555.58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厦门吉宏科技股份有限公司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230450.69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厦门吉信德集团有限公司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91250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厦门集控电气系统有限公司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77520.63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厦门集优新材料有限公司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98100.71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厦门加美石油集团有限公司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300000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厦门加新精密金属有限公司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68062.15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厦门佳忆进出口贸易有限公司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182530.85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厦门佳因特科技有限公司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100411.11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厦门嘉弘科技有限公司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87966.66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厦门建弘装修工程有限公司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187794.42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厦门健升塑胶模具有限公司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229777.78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厦门鉴科检测技术有限公司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58756.26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厦门捷昕精密科技股份有限公司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195408.34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厦门捷讯汽车零部件有限公司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97586.82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厦门金诚霖建材有限公司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181407.17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厦门金大合眼镜有限公司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231654.84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厦门金恩塑胶有限公司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48666.68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厦门金冠森建材有限公司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88094.88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厦门金美特进出口贸易有限公司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193611.13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厦门晋源铝复合板带科技有限公司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183409.72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厦门荆艺软件股份有限公司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95248.91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厦门精一诚金属制品有限公司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240138.89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厦门靓泓生物科技有限公司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243008.36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厦门凯纳石墨烯技术股份有限公司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38927.78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厦门康浩科技有限公司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107051.39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厦门靠谱云股份有限公司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196111.09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厦门蓝空间企划设计有限公司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241669.47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厦门澜天电子科技有限公司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193832.68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厦门利德宝电子科技股份有限公司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219916.66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厦门联发智能科技股份有限公司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210856.13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厦门联拓信息技术有限公司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86945.84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厦门脸博士整形外科门诊部有限公司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186083.34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厦门劦众电气有限公司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99679.39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厦门陆威工程机械有限公司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171888.89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厦门迈通科技有限公司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30712.49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厦门麦克玛视电子信息技术有限公司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115500.02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厦门脉合信息科技有限公司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141783.33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厦门美达斯环保工业有限公司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82733.32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厦门美佳美新材料科技有限公司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161486.1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厦门美肯科技有限公司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170385.44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厦门美时美克空气净化有限公司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114316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厦门美益集团有限公司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202777.76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厦门美益建材有限公司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101388.89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厦门美益兴业建材有限公司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202777.76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厦门南超机械有限公司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35911.81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厦门南旗佰特精密工具制造有限公司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36895.86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厦门欧贝传动科技股份有限公司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143650.71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厦门欧瑞捷生物科技有限公司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101111.11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厦门普为光电科技有限公司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198395.55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厦门青年阳光企业管理有限公司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176163.19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厦门日辰科技有限公司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103372.5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厦门三虎网络科技股份有限公司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110640.63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厦门三优光电股份有限公司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182521.21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厦门厦金机械股份有限公司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44550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厦门厦芝科技工具有限公司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78069.44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厦门尚匠住工建筑科技有限公司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33296.45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厦门十方圆通生物能源有限公司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223875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厦门市爱维达电子有限公司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209805.55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厦门市贝斯泰进出口有限公司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251388.91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厦门市戴尔乐新能源汽车有限公司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136621.51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厦门市菲尼丝新材料科技有限公司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97504.03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厦门市丰大电气科技有限公司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156444.46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厦门市亨盛建设集团有限公司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196243.05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厦门市环岛包装科技有限公司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118000.01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厦门市金利合贸易有限公司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158795.14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厦门市科力电子有限公司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108694.45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厦门市欧立通电子科技开发有限公司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300000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厦门市派美特科技有限公司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106635.43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厦门市润铭网络科技有限公司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77427.77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厦门市思明区欧米科贸有限公司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198986.66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厦门市松竹精密科技有限公司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263175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厦门市颂雨水暖有限公司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29276.06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厦门市昕圣机电工业有限公司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51765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厦门市欣捷龙包装有限公司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111020.81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厦门市星熠科技有限公司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45073.63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厦门市杏林双全玻璃钢有限公司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192232.64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厦门市益津鹭科技有限公司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209229.16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厦门市中资源网络服务有限公司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190658.32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厦门市拙雅科技有限公司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90904.87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厦门视贝科技有限公司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80475.7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厦门视诚科技有限公司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91704.87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厦门树鑫建设集团有限公司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241908.35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厦门水乐卫浴有限公司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93671.89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厦门丝柏科技有限公司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120289.57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厦门索玛特节能科技有限公司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169319.46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厦门碳帝复合材料科技有限公司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163143.75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厦门特力通信息技术股份有限公司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204750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厦门特骑服饰有限公司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201666.65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厦门天环能源科技有限公司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217499.99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厦门通耐钨钢有限公司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204156.93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厦门图创网络科技有限公司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213341.67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厦门万久科技股份有限公司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193680.55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厦门万新橡胶有限公司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48432.2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厦门旺圣进出口有限公司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218345.82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厦门微能电子科技有限公司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94444.44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厦门微亚智能科技有限公司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187895.83</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厦门唯康食品科技有限公司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176811.27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厦门唯网网络科技有限公司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188222.22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厦门惟乐环保材料有限公司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156000.02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厦门维克机械设备有限公司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201444.46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厦门文竣机电设备有限公司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111650.02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厦门闻佳科技有限公司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77647.5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厦门吾谷网络科技有限公司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215451.39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厦门晓云科技有限公司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90087.29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厦门芯阳科技股份有限公司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180895.85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厦门忻德信息技术有限公司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147825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厦门欣联绘喷绘有限公司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108230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厦门欣意盛新材料科技有限公司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300000</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厦门新声科技有限公司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176870.1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厦门鑫河精密科技股份有限公司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192653.42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厦门鑫朋工贸有限公司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178132.5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厦门星河创自动化科技有限公司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49574.12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厦门星之光科技有限公司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202888.88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厦门扬森数控设备有限公司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174416.7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厦门业盛电气有限公司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68437.5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厦门一抠能源技术有限公司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57589.57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厦门伊示雅商贸有限公司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241312.5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厦门银豪饲料有限公司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151139.27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厦门盈发实业有限公司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109958.35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厦门涌腾达电子有限公司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134749.98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厦门优乃库服装有限公司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181989.5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厦门友巨新能源科技有限公司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58391.66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厦门远大能源管理有限公司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162983.34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厦门允发钢管工业有限公司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245833.35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厦门正航软件科技有限公司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91777.78</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厦门智宇信息技术有限公司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179199.99</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厦门中明宇自动化科技有限公司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70388.91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厦门众联世纪科技有限公司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20666.67</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厦门准者体育用品有限公司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212187.51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太阳城（厦门）户外用品科技股份有限公司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201392.94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201</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同舟纵横（厦门）流体技术有限公司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60666.66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202</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万世通（厦门）科技有限公司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87966.66</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203</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沃博思（厦门）电子科技有限公司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195426.41</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204</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西石（厦门）科技股份有限公司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139963.5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205</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鑫德大（厦门）食品有限公司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247225</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206</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雅格士（厦门）塑胶制品有限公司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107670.84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207</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奕鑫（厦门）皮革制品有限公司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131159.72</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208</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英麦科（厦门）微电子科技有限公司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53033.34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209</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圆兴（厦门）精密工具有限公司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68444.44</w:t>
            </w:r>
          </w:p>
        </w:tc>
      </w:tr>
      <w:tr>
        <w:tblPrEx>
          <w:tblCellMar>
            <w:top w:w="0" w:type="dxa"/>
            <w:left w:w="0" w:type="dxa"/>
            <w:bottom w:w="0" w:type="dxa"/>
            <w:right w:w="0" w:type="dxa"/>
          </w:tblCellMar>
        </w:tblPrEx>
        <w:trPr>
          <w:trHeight w:val="555" w:hRule="atLeast"/>
        </w:trPr>
        <w:tc>
          <w:tcPr>
            <w:tcW w:w="11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210</w:t>
            </w:r>
          </w:p>
        </w:tc>
        <w:tc>
          <w:tcPr>
            <w:tcW w:w="44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lang w:val="en-US" w:eastAsia="zh-CN"/>
              </w:rPr>
              <w:t>中鲨动物保健品（厦门）有限公司</w:t>
            </w:r>
          </w:p>
        </w:tc>
        <w:tc>
          <w:tcPr>
            <w:tcW w:w="28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lang w:val="en-US" w:eastAsia="zh-CN"/>
              </w:rPr>
              <w:t>84753.48</w:t>
            </w:r>
          </w:p>
        </w:tc>
      </w:tr>
    </w:tbl>
    <w:p>
      <w:pPr>
        <w:spacing w:line="600" w:lineRule="exact"/>
        <w:rPr>
          <w:rFonts w:hint="eastAsia" w:ascii="黑体" w:hAnsi="黑体" w:eastAsia="黑体"/>
          <w:color w:val="040404"/>
          <w:kern w:val="0"/>
          <w:sz w:val="32"/>
          <w:szCs w:val="32"/>
          <w:lang w:val="en-US" w:eastAsia="zh-CN"/>
        </w:rPr>
      </w:pPr>
      <w:r>
        <w:rPr>
          <w:rFonts w:ascii="黑体" w:hAnsi="黑体" w:eastAsia="黑体"/>
          <w:color w:val="040404"/>
          <w:kern w:val="0"/>
          <w:sz w:val="32"/>
          <w:szCs w:val="32"/>
        </w:rPr>
        <w:br w:type="page"/>
      </w:r>
      <w:r>
        <w:rPr>
          <w:rFonts w:hint="eastAsia" w:ascii="黑体" w:hAnsi="黑体" w:eastAsia="黑体"/>
          <w:color w:val="040404"/>
          <w:kern w:val="0"/>
          <w:sz w:val="32"/>
          <w:szCs w:val="32"/>
        </w:rPr>
        <w:t>附件</w:t>
      </w:r>
      <w:r>
        <w:rPr>
          <w:rFonts w:hint="eastAsia" w:ascii="黑体" w:hAnsi="黑体" w:eastAsia="黑体"/>
          <w:color w:val="040404"/>
          <w:kern w:val="0"/>
          <w:sz w:val="32"/>
          <w:szCs w:val="32"/>
          <w:lang w:val="en-US" w:eastAsia="zh-CN"/>
        </w:rPr>
        <w:t>3</w:t>
      </w:r>
    </w:p>
    <w:p>
      <w:pPr>
        <w:spacing w:line="600" w:lineRule="exact"/>
        <w:jc w:val="center"/>
        <w:rPr>
          <w:rFonts w:ascii="黑体" w:hAnsi="黑体" w:eastAsia="黑体"/>
          <w:b/>
          <w:sz w:val="32"/>
          <w:szCs w:val="32"/>
        </w:rPr>
      </w:pPr>
      <w:r>
        <w:rPr>
          <w:rFonts w:ascii="仿宋_GB2312" w:eastAsia="仿宋_GB2312"/>
          <w:b/>
          <w:color w:val="040404"/>
          <w:sz w:val="32"/>
          <w:szCs w:val="32"/>
        </w:rPr>
        <w:t>202</w:t>
      </w:r>
      <w:r>
        <w:rPr>
          <w:rFonts w:hint="eastAsia" w:ascii="仿宋_GB2312" w:eastAsia="仿宋_GB2312"/>
          <w:b/>
          <w:color w:val="040404"/>
          <w:sz w:val="32"/>
          <w:szCs w:val="32"/>
          <w:lang w:val="en-US" w:eastAsia="zh-CN"/>
        </w:rPr>
        <w:t>2</w:t>
      </w:r>
      <w:r>
        <w:rPr>
          <w:rFonts w:hint="eastAsia" w:ascii="仿宋_GB2312" w:eastAsia="仿宋_GB2312"/>
          <w:b/>
          <w:color w:val="040404"/>
          <w:sz w:val="32"/>
          <w:szCs w:val="32"/>
        </w:rPr>
        <w:t>年第</w:t>
      </w:r>
      <w:r>
        <w:rPr>
          <w:rFonts w:hint="eastAsia" w:ascii="仿宋_GB2312" w:eastAsia="仿宋_GB2312"/>
          <w:b/>
          <w:color w:val="040404"/>
          <w:sz w:val="32"/>
          <w:szCs w:val="32"/>
          <w:lang w:val="en-US" w:eastAsia="zh-CN"/>
        </w:rPr>
        <w:t>一</w:t>
      </w:r>
      <w:r>
        <w:rPr>
          <w:rFonts w:hint="eastAsia" w:ascii="仿宋_GB2312" w:eastAsia="仿宋_GB2312"/>
          <w:b/>
          <w:color w:val="040404"/>
          <w:sz w:val="32"/>
          <w:szCs w:val="32"/>
        </w:rPr>
        <w:t>批知识产权质押贷款评估费、担保费补贴项目</w:t>
      </w:r>
    </w:p>
    <w:tbl>
      <w:tblPr>
        <w:tblStyle w:val="6"/>
        <w:tblW w:w="5000" w:type="pct"/>
        <w:tblInd w:w="0" w:type="dxa"/>
        <w:tblLayout w:type="autofit"/>
        <w:tblCellMar>
          <w:top w:w="0" w:type="dxa"/>
          <w:left w:w="0" w:type="dxa"/>
          <w:bottom w:w="0" w:type="dxa"/>
          <w:right w:w="0" w:type="dxa"/>
        </w:tblCellMar>
      </w:tblPr>
      <w:tblGrid>
        <w:gridCol w:w="970"/>
        <w:gridCol w:w="4887"/>
        <w:gridCol w:w="2475"/>
      </w:tblGrid>
      <w:tr>
        <w:tblPrEx>
          <w:tblCellMar>
            <w:top w:w="0" w:type="dxa"/>
            <w:left w:w="0" w:type="dxa"/>
            <w:bottom w:w="0" w:type="dxa"/>
            <w:right w:w="0" w:type="dxa"/>
          </w:tblCellMar>
        </w:tblPrEx>
        <w:trPr>
          <w:trHeight w:val="58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序号</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企业名称</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color w:val="000000"/>
                <w:kern w:val="0"/>
                <w:sz w:val="20"/>
                <w:szCs w:val="20"/>
              </w:rPr>
            </w:pPr>
            <w:r>
              <w:rPr>
                <w:rFonts w:hint="eastAsia" w:ascii="宋体" w:hAnsi="宋体" w:cs="宋体"/>
                <w:b/>
                <w:color w:val="000000"/>
                <w:kern w:val="0"/>
                <w:sz w:val="20"/>
                <w:szCs w:val="20"/>
              </w:rPr>
              <w:t>合计拟补贴金额</w:t>
            </w:r>
          </w:p>
          <w:p>
            <w:pPr>
              <w:widowControl/>
              <w:jc w:val="center"/>
              <w:textAlignment w:val="center"/>
              <w:rPr>
                <w:rFonts w:ascii="宋体" w:cs="宋体"/>
                <w:b/>
                <w:color w:val="000000"/>
                <w:kern w:val="0"/>
                <w:sz w:val="20"/>
                <w:szCs w:val="20"/>
              </w:rPr>
            </w:pPr>
            <w:r>
              <w:rPr>
                <w:rFonts w:hint="eastAsia" w:ascii="宋体" w:hAnsi="宋体" w:cs="宋体"/>
                <w:b/>
                <w:color w:val="000000"/>
                <w:kern w:val="0"/>
                <w:sz w:val="20"/>
                <w:szCs w:val="20"/>
              </w:rPr>
              <w:t>（元）</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冠佑（厦门）进出口有限公司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 xml:space="preserve">30000.00 </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厦门大白科技有限公司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 xml:space="preserve">45000.00 </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3</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厦门鼎盛世嘉贸易有限公司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 xml:space="preserve">105000.00 </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4</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厦门微能电子科技有限公司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 xml:space="preserve">75000.00 </w:t>
            </w:r>
          </w:p>
        </w:tc>
      </w:tr>
      <w:tr>
        <w:tblPrEx>
          <w:tblCellMar>
            <w:top w:w="0" w:type="dxa"/>
            <w:left w:w="0" w:type="dxa"/>
            <w:bottom w:w="0" w:type="dxa"/>
            <w:right w:w="0" w:type="dxa"/>
          </w:tblCellMar>
        </w:tblPrEx>
        <w:trPr>
          <w:trHeight w:val="561"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5</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厦门安捷通国际货运代理有限公司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150000.00</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6</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厦门加美石油集团有限公司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120000.00</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7</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厦门微亚智能科技有限公司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75000.00</w:t>
            </w:r>
          </w:p>
        </w:tc>
      </w:tr>
      <w:tr>
        <w:tblPrEx>
          <w:tblCellMar>
            <w:top w:w="0" w:type="dxa"/>
            <w:left w:w="0" w:type="dxa"/>
            <w:bottom w:w="0" w:type="dxa"/>
            <w:right w:w="0" w:type="dxa"/>
          </w:tblCellMar>
        </w:tblPrEx>
        <w:trPr>
          <w:trHeight w:val="537"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8</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厦门加新精密金属有限公司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30000.00</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9</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厦门鑫河精密科技股份有限公司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100350.00</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10</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厦门十方圆通生物能源有限公司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112500.00</w:t>
            </w:r>
          </w:p>
        </w:tc>
      </w:tr>
      <w:tr>
        <w:tblPrEx>
          <w:tblCellMar>
            <w:top w:w="0" w:type="dxa"/>
            <w:left w:w="0" w:type="dxa"/>
            <w:bottom w:w="0" w:type="dxa"/>
            <w:right w:w="0" w:type="dxa"/>
          </w:tblCellMar>
        </w:tblPrEx>
        <w:trPr>
          <w:trHeight w:val="522" w:hRule="atLeast"/>
        </w:trPr>
        <w:tc>
          <w:tcPr>
            <w:tcW w:w="58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11</w:t>
            </w:r>
          </w:p>
        </w:tc>
        <w:tc>
          <w:tcPr>
            <w:tcW w:w="293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厦门尚匠住工建筑科技有限公司</w:t>
            </w:r>
          </w:p>
        </w:tc>
        <w:tc>
          <w:tcPr>
            <w:tcW w:w="148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Arial" w:hAnsi="Arial" w:cs="Arial"/>
                <w:color w:val="000000"/>
                <w:kern w:val="0"/>
                <w:sz w:val="20"/>
                <w:szCs w:val="20"/>
                <w:lang w:val="en-US" w:eastAsia="zh-CN"/>
              </w:rPr>
            </w:pPr>
            <w:r>
              <w:rPr>
                <w:rFonts w:hint="default" w:ascii="Arial" w:hAnsi="Arial" w:cs="Arial"/>
                <w:color w:val="000000"/>
                <w:kern w:val="0"/>
                <w:sz w:val="20"/>
                <w:szCs w:val="20"/>
                <w:lang w:val="en-US" w:eastAsia="zh-CN"/>
              </w:rPr>
              <w:t>15000.00</w:t>
            </w:r>
          </w:p>
        </w:tc>
      </w:tr>
    </w:tbl>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pPr>
    </w:p>
    <w:sectPr>
      <w:footerReference r:id="rId3" w:type="default"/>
      <w:footerReference r:id="rId4" w:type="even"/>
      <w:pgSz w:w="11906" w:h="16838"/>
      <w:pgMar w:top="1440" w:right="1797" w:bottom="1440" w:left="1797" w:header="851" w:footer="992" w:gutter="0"/>
      <w:pgBorders w:offsetFrom="page">
        <w:top w:val="single" w:color="DCDCDC" w:sz="4" w:space="24"/>
        <w:left w:val="single" w:color="DCDCDC" w:sz="4" w:space="24"/>
        <w:bottom w:val="single" w:color="DCDCDC" w:sz="4" w:space="24"/>
        <w:right w:val="single" w:color="DCDCDC" w:sz="4" w:space="24"/>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roma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NTExZDliMjQzMWY0NTFjMzJjMGIyOTNjZWQyYmEifQ=="/>
  </w:docVars>
  <w:rsids>
    <w:rsidRoot w:val="008E63EF"/>
    <w:rsid w:val="000114B3"/>
    <w:rsid w:val="00034BAF"/>
    <w:rsid w:val="00043563"/>
    <w:rsid w:val="00060A45"/>
    <w:rsid w:val="000617EF"/>
    <w:rsid w:val="00076879"/>
    <w:rsid w:val="00082F5E"/>
    <w:rsid w:val="00090FA7"/>
    <w:rsid w:val="000966DB"/>
    <w:rsid w:val="000B3295"/>
    <w:rsid w:val="000C371D"/>
    <w:rsid w:val="000D6C07"/>
    <w:rsid w:val="000E02E0"/>
    <w:rsid w:val="0010311D"/>
    <w:rsid w:val="00105F41"/>
    <w:rsid w:val="00106ED7"/>
    <w:rsid w:val="00125A20"/>
    <w:rsid w:val="0012747D"/>
    <w:rsid w:val="00134389"/>
    <w:rsid w:val="00170102"/>
    <w:rsid w:val="0017212C"/>
    <w:rsid w:val="00174273"/>
    <w:rsid w:val="0019489D"/>
    <w:rsid w:val="001A5A61"/>
    <w:rsid w:val="001D2E33"/>
    <w:rsid w:val="001E2339"/>
    <w:rsid w:val="002049F8"/>
    <w:rsid w:val="00234F30"/>
    <w:rsid w:val="00237EA7"/>
    <w:rsid w:val="002419EB"/>
    <w:rsid w:val="00242DB0"/>
    <w:rsid w:val="0027509B"/>
    <w:rsid w:val="002A4DF9"/>
    <w:rsid w:val="002B1BF6"/>
    <w:rsid w:val="002B2A0B"/>
    <w:rsid w:val="002C214E"/>
    <w:rsid w:val="002E07AC"/>
    <w:rsid w:val="002E664B"/>
    <w:rsid w:val="00301015"/>
    <w:rsid w:val="003034CB"/>
    <w:rsid w:val="00324B9A"/>
    <w:rsid w:val="00331B6A"/>
    <w:rsid w:val="00346E8C"/>
    <w:rsid w:val="003637C8"/>
    <w:rsid w:val="00363FA7"/>
    <w:rsid w:val="003826ED"/>
    <w:rsid w:val="00390A1E"/>
    <w:rsid w:val="003959F8"/>
    <w:rsid w:val="003A1252"/>
    <w:rsid w:val="003E20FA"/>
    <w:rsid w:val="003E2F96"/>
    <w:rsid w:val="003E5D4E"/>
    <w:rsid w:val="004146ED"/>
    <w:rsid w:val="004258A3"/>
    <w:rsid w:val="00444B7D"/>
    <w:rsid w:val="00453C9F"/>
    <w:rsid w:val="004604BA"/>
    <w:rsid w:val="00466AD4"/>
    <w:rsid w:val="00487B78"/>
    <w:rsid w:val="00487FC8"/>
    <w:rsid w:val="00497D83"/>
    <w:rsid w:val="004A64F0"/>
    <w:rsid w:val="004A6F89"/>
    <w:rsid w:val="004B1B39"/>
    <w:rsid w:val="004C5EFD"/>
    <w:rsid w:val="004D193F"/>
    <w:rsid w:val="00515DC1"/>
    <w:rsid w:val="00536AE1"/>
    <w:rsid w:val="005405C7"/>
    <w:rsid w:val="00552C23"/>
    <w:rsid w:val="00557AC2"/>
    <w:rsid w:val="005716D0"/>
    <w:rsid w:val="00572036"/>
    <w:rsid w:val="00574CE4"/>
    <w:rsid w:val="00587407"/>
    <w:rsid w:val="00597C10"/>
    <w:rsid w:val="00597D9E"/>
    <w:rsid w:val="005B15B0"/>
    <w:rsid w:val="005B5B02"/>
    <w:rsid w:val="005C19F6"/>
    <w:rsid w:val="005F2A36"/>
    <w:rsid w:val="005F7E53"/>
    <w:rsid w:val="006204DC"/>
    <w:rsid w:val="00626163"/>
    <w:rsid w:val="00627BAD"/>
    <w:rsid w:val="0063517B"/>
    <w:rsid w:val="00642DFC"/>
    <w:rsid w:val="00660AB9"/>
    <w:rsid w:val="006617DD"/>
    <w:rsid w:val="00661850"/>
    <w:rsid w:val="0066460D"/>
    <w:rsid w:val="00665F0C"/>
    <w:rsid w:val="00667212"/>
    <w:rsid w:val="00677E7D"/>
    <w:rsid w:val="00681A96"/>
    <w:rsid w:val="00695944"/>
    <w:rsid w:val="00695951"/>
    <w:rsid w:val="006A2F67"/>
    <w:rsid w:val="006B60D8"/>
    <w:rsid w:val="006C0001"/>
    <w:rsid w:val="006C534E"/>
    <w:rsid w:val="006D3650"/>
    <w:rsid w:val="006D3F50"/>
    <w:rsid w:val="006E6840"/>
    <w:rsid w:val="00707212"/>
    <w:rsid w:val="0071087A"/>
    <w:rsid w:val="007217A3"/>
    <w:rsid w:val="00734384"/>
    <w:rsid w:val="007458CF"/>
    <w:rsid w:val="0075259D"/>
    <w:rsid w:val="00755E0F"/>
    <w:rsid w:val="00761972"/>
    <w:rsid w:val="007678A7"/>
    <w:rsid w:val="0077554A"/>
    <w:rsid w:val="007C02B5"/>
    <w:rsid w:val="007D1703"/>
    <w:rsid w:val="007D7BE3"/>
    <w:rsid w:val="007E1358"/>
    <w:rsid w:val="007E785C"/>
    <w:rsid w:val="007F52AA"/>
    <w:rsid w:val="00801BA4"/>
    <w:rsid w:val="00807B46"/>
    <w:rsid w:val="00870CF0"/>
    <w:rsid w:val="00875DBF"/>
    <w:rsid w:val="00876180"/>
    <w:rsid w:val="00890768"/>
    <w:rsid w:val="008E63EF"/>
    <w:rsid w:val="009015D5"/>
    <w:rsid w:val="00911E14"/>
    <w:rsid w:val="009234E1"/>
    <w:rsid w:val="0093325A"/>
    <w:rsid w:val="00941618"/>
    <w:rsid w:val="009571EF"/>
    <w:rsid w:val="00962DC3"/>
    <w:rsid w:val="00985DC6"/>
    <w:rsid w:val="009A346B"/>
    <w:rsid w:val="009B3EA0"/>
    <w:rsid w:val="009C2AA7"/>
    <w:rsid w:val="009C3EB3"/>
    <w:rsid w:val="009F1D62"/>
    <w:rsid w:val="009F261D"/>
    <w:rsid w:val="009F37F1"/>
    <w:rsid w:val="00A21F24"/>
    <w:rsid w:val="00A51030"/>
    <w:rsid w:val="00A64F10"/>
    <w:rsid w:val="00A82FEE"/>
    <w:rsid w:val="00A8540E"/>
    <w:rsid w:val="00AA60C6"/>
    <w:rsid w:val="00AC54D2"/>
    <w:rsid w:val="00AF2DE8"/>
    <w:rsid w:val="00AF61C5"/>
    <w:rsid w:val="00B1127F"/>
    <w:rsid w:val="00B169F0"/>
    <w:rsid w:val="00B17C19"/>
    <w:rsid w:val="00B26900"/>
    <w:rsid w:val="00B80AF6"/>
    <w:rsid w:val="00B95D59"/>
    <w:rsid w:val="00B9659D"/>
    <w:rsid w:val="00BA6650"/>
    <w:rsid w:val="00BB5B18"/>
    <w:rsid w:val="00BC6682"/>
    <w:rsid w:val="00BE07C3"/>
    <w:rsid w:val="00BF27F6"/>
    <w:rsid w:val="00C17F0D"/>
    <w:rsid w:val="00C4496E"/>
    <w:rsid w:val="00C47488"/>
    <w:rsid w:val="00C7354F"/>
    <w:rsid w:val="00C75FB8"/>
    <w:rsid w:val="00C9101E"/>
    <w:rsid w:val="00C95F7D"/>
    <w:rsid w:val="00CA3CCE"/>
    <w:rsid w:val="00CA43C5"/>
    <w:rsid w:val="00CB7585"/>
    <w:rsid w:val="00CF0E9A"/>
    <w:rsid w:val="00D027DD"/>
    <w:rsid w:val="00D0338A"/>
    <w:rsid w:val="00D15A17"/>
    <w:rsid w:val="00D312CF"/>
    <w:rsid w:val="00D3429E"/>
    <w:rsid w:val="00D56B29"/>
    <w:rsid w:val="00DA07C2"/>
    <w:rsid w:val="00DC5AB1"/>
    <w:rsid w:val="00E14355"/>
    <w:rsid w:val="00E335B1"/>
    <w:rsid w:val="00E36960"/>
    <w:rsid w:val="00E41C13"/>
    <w:rsid w:val="00E643F3"/>
    <w:rsid w:val="00E66730"/>
    <w:rsid w:val="00E71C80"/>
    <w:rsid w:val="00E87282"/>
    <w:rsid w:val="00E91C1F"/>
    <w:rsid w:val="00E94047"/>
    <w:rsid w:val="00EA6D71"/>
    <w:rsid w:val="00F0140F"/>
    <w:rsid w:val="00F06C26"/>
    <w:rsid w:val="00F12937"/>
    <w:rsid w:val="00F328D5"/>
    <w:rsid w:val="00F44E37"/>
    <w:rsid w:val="00F55C07"/>
    <w:rsid w:val="00F71A35"/>
    <w:rsid w:val="00F8610D"/>
    <w:rsid w:val="00F9719B"/>
    <w:rsid w:val="00FA5E2A"/>
    <w:rsid w:val="00FB6C8F"/>
    <w:rsid w:val="00FC056B"/>
    <w:rsid w:val="00FC2332"/>
    <w:rsid w:val="00FC6F17"/>
    <w:rsid w:val="00FD3893"/>
    <w:rsid w:val="00FD7452"/>
    <w:rsid w:val="00FE231B"/>
    <w:rsid w:val="00FE5D74"/>
    <w:rsid w:val="00FE726D"/>
    <w:rsid w:val="00FF15F7"/>
    <w:rsid w:val="0432752A"/>
    <w:rsid w:val="060621BE"/>
    <w:rsid w:val="06CC316D"/>
    <w:rsid w:val="08D80ABE"/>
    <w:rsid w:val="0C3F759C"/>
    <w:rsid w:val="17F67D4C"/>
    <w:rsid w:val="23E0307C"/>
    <w:rsid w:val="391F212E"/>
    <w:rsid w:val="3F451F66"/>
    <w:rsid w:val="4EA20818"/>
    <w:rsid w:val="52FA125B"/>
    <w:rsid w:val="535120DD"/>
    <w:rsid w:val="53920050"/>
    <w:rsid w:val="53FB4EFB"/>
    <w:rsid w:val="67FFF927"/>
    <w:rsid w:val="79A06DA7"/>
    <w:rsid w:val="9EFE4B66"/>
    <w:rsid w:val="BD5B41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Date Char"/>
    <w:basedOn w:val="7"/>
    <w:link w:val="2"/>
    <w:semiHidden/>
    <w:qFormat/>
    <w:locked/>
    <w:uiPriority w:val="99"/>
    <w:rPr>
      <w:rFonts w:ascii="Times New Roman" w:hAnsi="Times New Roman" w:eastAsia="宋体" w:cs="Times New Roman"/>
      <w:sz w:val="24"/>
      <w:szCs w:val="24"/>
    </w:rPr>
  </w:style>
  <w:style w:type="character" w:customStyle="1" w:styleId="10">
    <w:name w:val="Balloon Text Char"/>
    <w:basedOn w:val="7"/>
    <w:link w:val="3"/>
    <w:semiHidden/>
    <w:qFormat/>
    <w:locked/>
    <w:uiPriority w:val="99"/>
    <w:rPr>
      <w:rFonts w:ascii="Times New Roman" w:hAnsi="Times New Roman" w:eastAsia="宋体" w:cs="Times New Roman"/>
      <w:sz w:val="2"/>
    </w:rPr>
  </w:style>
  <w:style w:type="character" w:customStyle="1" w:styleId="11">
    <w:name w:val="Footer Char"/>
    <w:basedOn w:val="7"/>
    <w:link w:val="4"/>
    <w:qFormat/>
    <w:locked/>
    <w:uiPriority w:val="99"/>
    <w:rPr>
      <w:rFonts w:ascii="Times New Roman" w:hAnsi="Times New Roman" w:eastAsia="宋体" w:cs="Times New Roman"/>
      <w:sz w:val="18"/>
      <w:szCs w:val="18"/>
    </w:rPr>
  </w:style>
  <w:style w:type="character" w:customStyle="1" w:styleId="12">
    <w:name w:val="Header Char"/>
    <w:basedOn w:val="7"/>
    <w:link w:val="5"/>
    <w:semiHidden/>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rPr>
      <w:rFonts w:ascii="等线" w:hAnsi="等线" w:eastAsia="等线" w:cs="等线"/>
    </w:rPr>
  </w:style>
  <w:style w:type="character" w:customStyle="1" w:styleId="14">
    <w:name w:val="font11"/>
    <w:basedOn w:val="7"/>
    <w:qFormat/>
    <w:uiPriority w:val="99"/>
    <w:rPr>
      <w:rFonts w:ascii="仿宋_GB2312" w:eastAsia="仿宋_GB2312" w:cs="仿宋_GB2312"/>
      <w:color w:val="000000"/>
      <w:sz w:val="20"/>
      <w:szCs w:val="20"/>
      <w:u w:val="none"/>
    </w:rPr>
  </w:style>
  <w:style w:type="paragraph" w:customStyle="1" w:styleId="15">
    <w:name w:val="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等线" w:cs="Calibri"/>
      <w:color w:val="000000"/>
      <w:kern w:val="2"/>
      <w:sz w:val="21"/>
      <w:szCs w:val="21"/>
      <w:u w:color="000000"/>
      <w:lang w:val="en-US" w:eastAsia="zh-CN" w:bidi="ar-SA"/>
    </w:rPr>
  </w:style>
  <w:style w:type="character" w:customStyle="1" w:styleId="17">
    <w:name w:val="font21"/>
    <w:basedOn w:val="7"/>
    <w:qFormat/>
    <w:uiPriority w:val="99"/>
    <w:rPr>
      <w:rFonts w:ascii="Arial" w:hAnsi="Arial" w:cs="Arial"/>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10</Pages>
  <Words>3255</Words>
  <Characters>5187</Characters>
  <Lines>0</Lines>
  <Paragraphs>0</Paragraphs>
  <TotalTime>18</TotalTime>
  <ScaleCrop>false</ScaleCrop>
  <LinksUpToDate>false</LinksUpToDate>
  <CharactersWithSpaces>5191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2020-11-21T02:59:00Z</dcterms:created>
  <dc:creator>Administrator</dc:creator>
  <cp:lastModifiedBy>王毅</cp:lastModifiedBy>
  <cp:lastPrinted>2022-06-23T03:39:00Z</cp:lastPrinted>
  <dcterms:modified xsi:type="dcterms:W3CDTF">2022-06-22T17:27:43Z</dcterms:modified>
  <dc:title>知识产权运用促进处呈报件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C2E8EBB77EC24FF98A8F559EB10FC655</vt:lpwstr>
  </property>
</Properties>
</file>