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6722E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4774B24B">
            <w:pPr>
              <w:pStyle w:val="19"/>
              <w:framePr w:wrap="notBeside" w:vAnchor="page" w:hAnchor="page" w:x="1372" w:y="568"/>
              <w:tabs>
                <w:tab w:val="clear" w:pos="4153"/>
                <w:tab w:val="clear" w:pos="8306"/>
              </w:tabs>
              <w:spacing w:line="240" w:lineRule="auto"/>
              <w:jc w:val="left"/>
              <w:rPr>
                <w:rFonts w:ascii="黑体" w:hAnsi="黑体" w:eastAsia="黑体"/>
                <w:sz w:val="21"/>
                <w:szCs w:val="21"/>
              </w:rPr>
            </w:pPr>
            <w:bookmarkStart w:id="50" w:name="_GoBack"/>
            <w:bookmarkEnd w:id="50"/>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5768AD3C">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14:paraId="13EA5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78492D4">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148BC1A3">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tbl>
      <w:tblPr>
        <w:tblStyle w:val="30"/>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3BF77DE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60760EF4">
            <w:pPr>
              <w:pStyle w:val="53"/>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fldChar w:fldCharType="begin">
                <w:ffData>
                  <w:name w:val="c1"/>
                  <w:enabled/>
                  <w:calcOnExit w:val="0"/>
                  <w:textInput>
                    <w:maxLength w:val="8"/>
                  </w:textInput>
                </w:ffData>
              </w:fldChar>
            </w:r>
            <w:bookmarkStart w:id="3" w:name="c1"/>
            <w:r>
              <w:instrText xml:space="preserve"> FORMTEXT </w:instrText>
            </w:r>
            <w:r>
              <w:fldChar w:fldCharType="separate"/>
            </w:r>
            <w:r>
              <w:t>3502</w:t>
            </w:r>
            <w:r>
              <w:fldChar w:fldCharType="end"/>
            </w:r>
            <w:bookmarkEnd w:id="3"/>
          </w:p>
        </w:tc>
      </w:tr>
    </w:tbl>
    <w:p w14:paraId="24F459DB">
      <w:pPr>
        <w:pStyle w:val="54"/>
        <w:framePr w:w="9639" w:h="624" w:hRule="exact" w:hSpace="181" w:vSpace="181" w:wrap="around" w:hAnchor="page" w:x="1305" w:y="2269"/>
        <w:rPr>
          <w:rFonts w:ascii="黑体" w:hAnsi="黑体" w:eastAsia="黑体"/>
          <w:b w:val="0"/>
          <w:bCs w:val="0"/>
          <w:w w:val="100"/>
          <w:sz w:val="48"/>
          <w:szCs w:val="48"/>
        </w:rPr>
      </w:pPr>
      <w:r>
        <w:rPr>
          <w:rFonts w:hint="eastAsia" w:ascii="黑体" w:eastAsia="黑体"/>
          <w:b w:val="0"/>
          <w:w w:val="100"/>
          <w:sz w:val="48"/>
        </w:rPr>
        <w:t>福建省厦门市</w:t>
      </w:r>
      <w:r>
        <w:rPr>
          <w:rFonts w:hint="eastAsia" w:ascii="黑体" w:hAnsi="黑体" w:eastAsia="黑体"/>
          <w:b w:val="0"/>
          <w:bCs w:val="0"/>
          <w:w w:val="100"/>
          <w:sz w:val="48"/>
          <w:szCs w:val="48"/>
        </w:rPr>
        <w:t>地方标准</w:t>
      </w:r>
    </w:p>
    <w:bookmarkEnd w:id="2"/>
    <w:p w14:paraId="261EE959">
      <w:pPr>
        <w:pStyle w:val="199"/>
        <w:framePr w:wrap="around"/>
        <w:rPr>
          <w:lang w:val="fr-FR"/>
        </w:rPr>
      </w:pPr>
      <w:r>
        <w:rPr>
          <w:lang w:val="fr-FR"/>
        </w:rPr>
        <w:t>DB</w:t>
      </w:r>
      <w:r>
        <w:fldChar w:fldCharType="begin">
          <w:ffData>
            <w:name w:val="文字1"/>
            <w:enabled/>
            <w:calcOnExit w:val="0"/>
            <w:textInput>
              <w:default w:val="XX/T"/>
            </w:textInput>
          </w:ffData>
        </w:fldChar>
      </w:r>
      <w:bookmarkStart w:id="4" w:name="文字1"/>
      <w:r>
        <w:rPr>
          <w:lang w:val="fr-FR"/>
        </w:rPr>
        <w:instrText xml:space="preserve"> FORMTEXT </w:instrText>
      </w:r>
      <w:r>
        <w:fldChar w:fldCharType="separate"/>
      </w:r>
      <w:r>
        <w:rPr>
          <w:lang w:val="fr-FR"/>
        </w:rPr>
        <w:t>3502/T</w:t>
      </w:r>
      <w:r>
        <w:fldChar w:fldCharType="end"/>
      </w:r>
      <w:bookmarkEnd w:id="4"/>
      <w:r>
        <w:rPr>
          <w:lang w:val="fr-FR"/>
        </w:rPr>
        <w:t xml:space="preserve"> </w:t>
      </w:r>
      <w:r>
        <w:fldChar w:fldCharType="begin">
          <w:ffData>
            <w:name w:val="NSTD_CODE_F"/>
            <w:enabled/>
            <w:calcOnExit w:val="0"/>
            <w:textInput>
              <w:default w:val="XXXX"/>
            </w:textInput>
          </w:ffData>
        </w:fldChar>
      </w:r>
      <w:bookmarkStart w:id="5" w:name="NSTD_CODE_F"/>
      <w:r>
        <w:rPr>
          <w:lang w:val="fr-FR"/>
        </w:rPr>
        <w:instrText xml:space="preserve"> FORMTEXT </w:instrText>
      </w:r>
      <w:r>
        <w:fldChar w:fldCharType="separate"/>
      </w:r>
      <w:r>
        <w:rPr>
          <w:lang w:val="fr-FR"/>
        </w:rPr>
        <w:t>XXXX</w:t>
      </w:r>
      <w:r>
        <w:fldChar w:fldCharType="end"/>
      </w:r>
      <w:bookmarkEnd w:id="5"/>
      <w:r>
        <w:rPr>
          <w:rFonts w:hAnsi="黑体"/>
          <w:lang w:val="fr-FR"/>
        </w:rPr>
        <w:t>—</w:t>
      </w:r>
      <w:r>
        <w:fldChar w:fldCharType="begin">
          <w:ffData>
            <w:name w:val="NSTD_CODE_B"/>
            <w:enabled/>
            <w:calcOnExit w:val="0"/>
            <w:textInput>
              <w:default w:val="XXXX"/>
            </w:textInput>
          </w:ffData>
        </w:fldChar>
      </w:r>
      <w:bookmarkStart w:id="6" w:name="NSTD_CODE_B"/>
      <w:r>
        <w:instrText xml:space="preserve"> FORMTEXT </w:instrText>
      </w:r>
      <w:r>
        <w:fldChar w:fldCharType="separate"/>
      </w:r>
      <w:r>
        <w:t>XXXX</w:t>
      </w:r>
      <w:r>
        <w:fldChar w:fldCharType="end"/>
      </w:r>
      <w:bookmarkEnd w:id="6"/>
    </w:p>
    <w:p w14:paraId="6685C086">
      <w:pPr>
        <w:pStyle w:val="200"/>
        <w:framePr w:wrap="around"/>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7"/>
    </w:p>
    <w:p w14:paraId="5593CB5E">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268B962">
      <w:pPr>
        <w:pStyle w:val="54"/>
        <w:framePr w:w="9639" w:h="6976" w:hRule="exact" w:hSpace="0" w:vSpace="0" w:wrap="around" w:hAnchor="page" w:y="6408"/>
        <w:jc w:val="center"/>
        <w:rPr>
          <w:rFonts w:ascii="黑体" w:hAnsi="黑体" w:eastAsia="黑体"/>
          <w:b w:val="0"/>
          <w:bCs w:val="0"/>
          <w:w w:val="100"/>
        </w:rPr>
      </w:pPr>
    </w:p>
    <w:p w14:paraId="30A5751A">
      <w:pPr>
        <w:pStyle w:val="201"/>
        <w:framePr w:h="6974" w:hRule="exact" w:wrap="around" w:x="1419" w:anchorLock="1"/>
      </w:pPr>
      <w:bookmarkStart w:id="8" w:name="CSTD_NAME"/>
      <w:r>
        <w:fldChar w:fldCharType="begin">
          <w:ffData>
            <w:name w:val="CSTD_NAME"/>
            <w:enabled/>
            <w:calcOnExit w:val="0"/>
            <w:textInput>
              <w:default w:val="公共停车场（库）技术规范"/>
            </w:textInput>
          </w:ffData>
        </w:fldChar>
      </w:r>
      <w:r>
        <w:instrText xml:space="preserve">FORMTEXT</w:instrText>
      </w:r>
      <w:r>
        <w:fldChar w:fldCharType="separate"/>
      </w:r>
      <w:r>
        <w:t>公共停车场（库）技术规范</w:t>
      </w:r>
      <w:r>
        <w:fldChar w:fldCharType="end"/>
      </w:r>
      <w:bookmarkEnd w:id="8"/>
    </w:p>
    <w:p w14:paraId="428CD2A2">
      <w:pPr>
        <w:framePr w:w="9639" w:h="6974" w:hRule="exact" w:wrap="around" w:vAnchor="page" w:hAnchor="page" w:x="1419" w:y="6408" w:anchorLock="1"/>
        <w:ind w:left="-1418"/>
      </w:pPr>
    </w:p>
    <w:p w14:paraId="6500FE2E">
      <w:pPr>
        <w:pStyle w:val="129"/>
        <w:framePr w:w="9639" w:h="6974" w:hRule="exact" w:wrap="around" w:vAnchor="page" w:hAnchor="page" w:x="1419" w:y="6408" w:anchorLock="1"/>
        <w:textAlignment w:val="bottom"/>
        <w:rPr>
          <w:rFonts w:eastAsia="黑体"/>
          <w:szCs w:val="28"/>
        </w:rPr>
      </w:pPr>
      <w:bookmarkStart w:id="9" w:name="ESTD_NAME"/>
      <w:r>
        <w:rPr>
          <w:rFonts w:eastAsia="黑体"/>
          <w:szCs w:val="28"/>
        </w:rPr>
        <w:fldChar w:fldCharType="begin">
          <w:ffData>
            <w:name w:val="ESTD_NAME"/>
            <w:enabled/>
            <w:calcOnExit w:val="0"/>
            <w:textInput>
              <w:default w:val="Technical specification for public parking lot (garages)"/>
            </w:textInput>
          </w:ffData>
        </w:fldChar>
      </w:r>
      <w:r>
        <w:rPr>
          <w:rFonts w:eastAsia="黑体"/>
          <w:szCs w:val="28"/>
        </w:rPr>
        <w:instrText xml:space="preserve">FORMTEXT</w:instrText>
      </w:r>
      <w:r>
        <w:rPr>
          <w:rFonts w:eastAsia="黑体"/>
          <w:szCs w:val="28"/>
        </w:rPr>
        <w:fldChar w:fldCharType="separate"/>
      </w:r>
      <w:r>
        <w:rPr>
          <w:rFonts w:eastAsia="黑体"/>
          <w:szCs w:val="28"/>
        </w:rPr>
        <w:t>Technical specification for public parking lot (garages)</w:t>
      </w:r>
      <w:r>
        <w:rPr>
          <w:rFonts w:eastAsia="黑体"/>
          <w:szCs w:val="28"/>
        </w:rPr>
        <w:fldChar w:fldCharType="end"/>
      </w:r>
      <w:bookmarkEnd w:id="9"/>
    </w:p>
    <w:p w14:paraId="0518354F">
      <w:pPr>
        <w:framePr w:w="9639" w:h="6974" w:hRule="exact" w:wrap="around" w:vAnchor="page" w:hAnchor="page" w:x="1419" w:y="6408" w:anchorLock="1"/>
        <w:spacing w:line="760" w:lineRule="exact"/>
        <w:ind w:left="-1418"/>
      </w:pPr>
    </w:p>
    <w:p w14:paraId="24603DE9">
      <w:pPr>
        <w:pStyle w:val="129"/>
        <w:framePr w:w="9639" w:h="6974" w:hRule="exact" w:wrap="around" w:vAnchor="page" w:hAnchor="page" w:x="1419" w:y="6408" w:anchorLock="1"/>
        <w:textAlignment w:val="bottom"/>
        <w:rPr>
          <w:rFonts w:eastAsia="黑体"/>
          <w:szCs w:val="28"/>
        </w:rPr>
      </w:pPr>
    </w:p>
    <w:p w14:paraId="78534FB3">
      <w:pPr>
        <w:pStyle w:val="129"/>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1"/>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14:paraId="15E9F19B">
      <w:pPr>
        <w:pStyle w:val="12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14:paraId="537695CF">
      <w:pPr>
        <w:pStyle w:val="129"/>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14:paraId="2EE13A8A">
      <w:pPr>
        <w:pStyle w:val="197"/>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49BEE4A6">
      <w:pPr>
        <w:pStyle w:val="198"/>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2315E905">
      <w:pPr>
        <w:pStyle w:val="155"/>
        <w:framePr w:h="584" w:hRule="exact" w:hSpace="181" w:vSpace="181" w:wrap="around" w:y="15027"/>
        <w:rPr>
          <w:rFonts w:hAnsi="黑体"/>
        </w:rPr>
      </w:pPr>
      <w:r>
        <w:rPr>
          <w:rFonts w:hint="eastAsia" w:hAnsi="黑体"/>
          <w:w w:val="100"/>
          <w:sz w:val="28"/>
        </w:rPr>
        <w:t>厦门市市场监督管理局</w:t>
      </w:r>
      <w:r>
        <w:rPr>
          <w:rFonts w:ascii="Times New Roman"/>
          <w:w w:val="100"/>
          <w:sz w:val="28"/>
        </w:rPr>
        <w:t>  </w:t>
      </w:r>
      <w:r>
        <w:rPr>
          <w:rStyle w:val="233"/>
          <w:rFonts w:hint="eastAsia" w:hAnsi="黑体"/>
          <w:position w:val="0"/>
        </w:rPr>
        <w:t>发</w:t>
      </w:r>
      <w:r>
        <w:rPr>
          <w:rStyle w:val="233"/>
          <w:rFonts w:hint="eastAsia" w:hAnsi="黑体"/>
          <w:spacing w:val="0"/>
          <w:position w:val="0"/>
        </w:rPr>
        <w:t>布</w:t>
      </w:r>
    </w:p>
    <w:p w14:paraId="0362B574">
      <w:pPr>
        <w:rPr>
          <w:rFonts w:ascii="宋体" w:hAnsi="宋体"/>
          <w:sz w:val="28"/>
          <w:szCs w:val="28"/>
        </w:rPr>
        <w:sectPr>
          <w:headerReference r:id="rId7" w:type="first"/>
          <w:footerReference r:id="rId9" w:type="first"/>
          <w:headerReference r:id="rId5" w:type="default"/>
          <w:headerReference r:id="rId6" w:type="even"/>
          <w:footerReference r:id="rId8"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2FACA6A">
      <w:pPr>
        <w:pStyle w:val="95"/>
        <w:spacing w:after="468"/>
      </w:pPr>
      <w:bookmarkStart w:id="19" w:name="BookMark1"/>
      <w:r>
        <w:rPr>
          <w:spacing w:val="320"/>
        </w:rPr>
        <w:t>目</w:t>
      </w:r>
      <w:r>
        <w:t>次</w:t>
      </w:r>
    </w:p>
    <w:p w14:paraId="67F5307B">
      <w:pPr>
        <w:pStyle w:val="20"/>
        <w:tabs>
          <w:tab w:val="right" w:leader="dot" w:pos="9344"/>
        </w:tabs>
      </w:pPr>
      <w:r>
        <w:fldChar w:fldCharType="begin"/>
      </w:r>
      <w:r>
        <w:instrText xml:space="preserve"> HYPERLINK \l "_Toc87452561" </w:instrText>
      </w:r>
      <w:r>
        <w:fldChar w:fldCharType="separate"/>
      </w:r>
      <w:r>
        <w:rPr>
          <w:rStyle w:val="35"/>
          <w:spacing w:val="320"/>
        </w:rPr>
        <w:t>前</w:t>
      </w:r>
      <w:r>
        <w:rPr>
          <w:rStyle w:val="35"/>
        </w:rPr>
        <w:t>言</w:t>
      </w:r>
      <w:r>
        <w:tab/>
      </w:r>
      <w:r>
        <w:rPr>
          <w:rFonts w:hint="eastAsia"/>
        </w:rPr>
        <w:t>Ⅲ</w:t>
      </w:r>
      <w:r>
        <w:rPr>
          <w:rFonts w:hint="eastAsia"/>
        </w:rPr>
        <w:fldChar w:fldCharType="end"/>
      </w:r>
    </w:p>
    <w:p w14:paraId="397BFA11">
      <w:pPr>
        <w:pStyle w:val="20"/>
        <w:tabs>
          <w:tab w:val="right" w:leader="dot" w:pos="9344"/>
        </w:tabs>
        <w:rPr>
          <w:rFonts w:asciiTheme="minorHAnsi" w:hAnsiTheme="minorHAnsi" w:eastAsiaTheme="minorEastAsia" w:cstheme="minorBidi"/>
          <w:szCs w:val="22"/>
        </w:rPr>
      </w:pPr>
      <w:r>
        <w:fldChar w:fldCharType="begin"/>
      </w:r>
      <w:r>
        <w:instrText xml:space="preserve"> HYPERLINK \l "_Toc87452563" </w:instrText>
      </w:r>
      <w:r>
        <w:fldChar w:fldCharType="separate"/>
      </w:r>
      <w:r>
        <w:rPr>
          <w:rStyle w:val="35"/>
        </w:rPr>
        <w:t>1 范围</w:t>
      </w:r>
      <w:r>
        <w:tab/>
      </w:r>
      <w:r>
        <w:rPr>
          <w:rFonts w:hint="eastAsia"/>
        </w:rPr>
        <w:t>4</w:t>
      </w:r>
      <w:r>
        <w:rPr>
          <w:rFonts w:hint="eastAsia"/>
        </w:rPr>
        <w:fldChar w:fldCharType="end"/>
      </w:r>
    </w:p>
    <w:p w14:paraId="5EAFC89C">
      <w:pPr>
        <w:pStyle w:val="20"/>
        <w:tabs>
          <w:tab w:val="right" w:leader="dot" w:pos="9344"/>
        </w:tabs>
        <w:rPr>
          <w:rFonts w:hAnsi="宋体" w:cs="宋体"/>
        </w:rPr>
      </w:pPr>
      <w:r>
        <w:fldChar w:fldCharType="begin"/>
      </w:r>
      <w:r>
        <w:instrText xml:space="preserve"> HYPERLINK \l "_Toc87452564" </w:instrText>
      </w:r>
      <w:r>
        <w:fldChar w:fldCharType="separate"/>
      </w:r>
      <w:r>
        <w:rPr>
          <w:rStyle w:val="35"/>
          <w:rFonts w:hint="eastAsia" w:hAnsi="宋体" w:cs="宋体"/>
        </w:rPr>
        <w:t>2 规范性引用文件</w:t>
      </w:r>
      <w:r>
        <w:rPr>
          <w:rFonts w:hint="eastAsia" w:hAnsi="宋体" w:cs="宋体"/>
        </w:rPr>
        <w:tab/>
      </w:r>
      <w:r>
        <w:rPr>
          <w:rFonts w:hint="eastAsia" w:hAnsi="宋体" w:cs="宋体"/>
        </w:rPr>
        <w:t>4</w:t>
      </w:r>
      <w:r>
        <w:rPr>
          <w:rFonts w:hint="eastAsia" w:hAnsi="宋体" w:cs="宋体"/>
        </w:rPr>
        <w:fldChar w:fldCharType="end"/>
      </w:r>
    </w:p>
    <w:p w14:paraId="731307CE">
      <w:pPr>
        <w:pStyle w:val="20"/>
        <w:tabs>
          <w:tab w:val="right" w:leader="dot" w:pos="9344"/>
        </w:tabs>
      </w:pPr>
      <w:r>
        <w:fldChar w:fldCharType="begin"/>
      </w:r>
      <w:r>
        <w:instrText xml:space="preserve"> HYPERLINK \l "_Toc87452564" </w:instrText>
      </w:r>
      <w:r>
        <w:fldChar w:fldCharType="separate"/>
      </w:r>
      <w:r>
        <w:rPr>
          <w:rFonts w:hint="eastAsia" w:hAnsi="宋体" w:cs="宋体"/>
        </w:rPr>
        <w:t>3</w:t>
      </w:r>
      <w:r>
        <w:rPr>
          <w:rStyle w:val="35"/>
          <w:rFonts w:hint="eastAsia" w:hAnsi="宋体" w:cs="宋体"/>
        </w:rPr>
        <w:t xml:space="preserve"> 术语和定义</w:t>
      </w:r>
      <w:r>
        <w:rPr>
          <w:rFonts w:hint="eastAsia" w:hAnsi="宋体" w:cs="宋体"/>
        </w:rPr>
        <w:tab/>
      </w:r>
      <w:r>
        <w:rPr>
          <w:rFonts w:hint="eastAsia" w:hAnsi="宋体" w:cs="宋体"/>
        </w:rPr>
        <w:t>5</w:t>
      </w:r>
      <w:r>
        <w:rPr>
          <w:rFonts w:hint="eastAsia" w:hAnsi="宋体" w:cs="宋体"/>
        </w:rPr>
        <w:fldChar w:fldCharType="end"/>
      </w:r>
    </w:p>
    <w:p w14:paraId="2FEC3AB8">
      <w:pPr>
        <w:pStyle w:val="20"/>
        <w:tabs>
          <w:tab w:val="right" w:leader="dot" w:pos="9344"/>
        </w:tabs>
        <w:rPr>
          <w:rFonts w:hAnsi="宋体" w:cs="宋体"/>
        </w:rPr>
      </w:pPr>
      <w:r>
        <w:fldChar w:fldCharType="begin"/>
      </w:r>
      <w:r>
        <w:instrText xml:space="preserve"> HYPERLINK \l "_Toc87452565" </w:instrText>
      </w:r>
      <w:r>
        <w:fldChar w:fldCharType="separate"/>
      </w:r>
      <w:r>
        <w:rPr>
          <w:rFonts w:hint="eastAsia" w:hAnsi="宋体" w:cs="宋体"/>
        </w:rPr>
        <w:t>4</w:t>
      </w:r>
      <w:r>
        <w:rPr>
          <w:rStyle w:val="35"/>
          <w:rFonts w:hint="eastAsia" w:hAnsi="宋体" w:cs="宋体"/>
        </w:rPr>
        <w:t xml:space="preserve"> </w:t>
      </w:r>
      <w:r>
        <w:rPr>
          <w:rFonts w:hint="eastAsia" w:hAnsi="宋体" w:cs="宋体"/>
        </w:rPr>
        <w:t>基本规定</w:t>
      </w:r>
      <w:r>
        <w:rPr>
          <w:rFonts w:hint="eastAsia" w:hAnsi="宋体" w:cs="宋体"/>
        </w:rPr>
        <w:tab/>
      </w:r>
      <w:r>
        <w:rPr>
          <w:rFonts w:hint="eastAsia" w:hAnsi="宋体" w:cs="宋体"/>
          <w:lang w:val="en-US" w:eastAsia="zh-CN"/>
        </w:rPr>
        <w:t>6</w:t>
      </w:r>
      <w:r>
        <w:rPr>
          <w:rFonts w:hint="eastAsia" w:hAnsi="宋体" w:cs="宋体"/>
        </w:rPr>
        <w:fldChar w:fldCharType="end"/>
      </w:r>
    </w:p>
    <w:p w14:paraId="1340A17A">
      <w:pPr>
        <w:pStyle w:val="20"/>
        <w:tabs>
          <w:tab w:val="right" w:leader="dot" w:pos="9344"/>
        </w:tabs>
        <w:rPr>
          <w:rFonts w:hint="eastAsia" w:hAnsi="宋体" w:cs="宋体"/>
        </w:rPr>
      </w:pPr>
      <w:r>
        <w:fldChar w:fldCharType="begin"/>
      </w:r>
      <w:r>
        <w:instrText xml:space="preserve"> HYPERLINK \l "_Toc87452565" </w:instrText>
      </w:r>
      <w:r>
        <w:fldChar w:fldCharType="separate"/>
      </w:r>
      <w:r>
        <w:rPr>
          <w:rFonts w:hint="eastAsia" w:hAnsi="宋体" w:cs="宋体"/>
        </w:rPr>
        <w:t>5</w:t>
      </w:r>
      <w:r>
        <w:rPr>
          <w:rStyle w:val="35"/>
          <w:rFonts w:hint="eastAsia" w:hAnsi="宋体" w:cs="宋体"/>
        </w:rPr>
        <w:t xml:space="preserve"> 建设规模与构成</w:t>
      </w:r>
      <w:r>
        <w:rPr>
          <w:rFonts w:hint="eastAsia" w:hAnsi="宋体" w:cs="宋体"/>
        </w:rPr>
        <w:tab/>
      </w:r>
      <w:r>
        <w:rPr>
          <w:rFonts w:hint="eastAsia" w:hAnsi="宋体" w:cs="宋体"/>
          <w:lang w:val="en-US" w:eastAsia="zh-CN"/>
        </w:rPr>
        <w:t>7</w:t>
      </w:r>
      <w:r>
        <w:rPr>
          <w:rFonts w:hint="eastAsia" w:hAnsi="宋体" w:cs="宋体"/>
        </w:rPr>
        <w:fldChar w:fldCharType="end"/>
      </w:r>
    </w:p>
    <w:p w14:paraId="285E2655">
      <w:pPr>
        <w:pStyle w:val="20"/>
        <w:tabs>
          <w:tab w:val="right" w:leader="dot" w:pos="9344"/>
        </w:tabs>
        <w:ind w:firstLine="210" w:firstLineChars="100"/>
        <w:rPr>
          <w:rFonts w:hAnsi="宋体" w:cs="宋体"/>
        </w:rPr>
      </w:pPr>
      <w:r>
        <w:rPr>
          <w:rFonts w:hint="eastAsia" w:hAnsi="宋体" w:cs="宋体"/>
          <w:lang w:val="en-US" w:eastAsia="zh-CN"/>
        </w:rPr>
        <w:t>5</w:t>
      </w:r>
      <w:r>
        <w:rPr>
          <w:rFonts w:hint="eastAsia" w:hAnsi="宋体" w:cs="宋体"/>
        </w:rPr>
        <w:t>.</w:t>
      </w:r>
      <w:r>
        <w:rPr>
          <w:rFonts w:hint="eastAsia" w:hAnsi="宋体" w:cs="宋体"/>
          <w:lang w:val="en-US" w:eastAsia="zh-CN"/>
        </w:rPr>
        <w:t>1</w:t>
      </w:r>
      <w:r>
        <w:rPr>
          <w:rFonts w:hint="eastAsia" w:hAnsi="宋体" w:cs="宋体"/>
        </w:rPr>
        <w:t xml:space="preserve"> </w:t>
      </w:r>
      <w:r>
        <w:fldChar w:fldCharType="begin"/>
      </w:r>
      <w:r>
        <w:instrText xml:space="preserve"> HYPERLINK \l "_Toc87452565" </w:instrText>
      </w:r>
      <w:r>
        <w:fldChar w:fldCharType="separate"/>
      </w:r>
      <w:r>
        <w:rPr>
          <w:rFonts w:hint="eastAsia" w:hAnsi="宋体" w:cs="宋体"/>
        </w:rPr>
        <w:t>停车场（库）</w:t>
      </w:r>
      <w:r>
        <w:rPr>
          <w:rFonts w:hint="eastAsia" w:hAnsi="宋体" w:cs="宋体"/>
          <w:lang w:val="en-US" w:eastAsia="zh-CN"/>
        </w:rPr>
        <w:t>建设规模</w:t>
      </w:r>
      <w:r>
        <w:rPr>
          <w:rFonts w:hint="eastAsia" w:hAnsi="宋体" w:cs="宋体"/>
        </w:rPr>
        <w:tab/>
      </w:r>
      <w:r>
        <w:rPr>
          <w:rFonts w:hint="eastAsia" w:hAnsi="宋体" w:cs="宋体"/>
          <w:lang w:val="en-US" w:eastAsia="zh-CN"/>
        </w:rPr>
        <w:t>7</w:t>
      </w:r>
      <w:r>
        <w:rPr>
          <w:rFonts w:hint="eastAsia" w:hAnsi="宋体" w:cs="宋体"/>
        </w:rPr>
        <w:fldChar w:fldCharType="end"/>
      </w:r>
    </w:p>
    <w:p w14:paraId="5F34FEEB">
      <w:pPr>
        <w:pStyle w:val="20"/>
        <w:tabs>
          <w:tab w:val="right" w:leader="dot" w:pos="9344"/>
        </w:tabs>
        <w:ind w:firstLine="210" w:firstLineChars="100"/>
      </w:pPr>
      <w:r>
        <w:rPr>
          <w:rFonts w:hint="eastAsia" w:hAnsi="宋体" w:cs="宋体"/>
          <w:lang w:val="en-US" w:eastAsia="zh-CN"/>
        </w:rPr>
        <w:t>5</w:t>
      </w:r>
      <w:r>
        <w:rPr>
          <w:rFonts w:hint="eastAsia" w:hAnsi="宋体" w:cs="宋体"/>
        </w:rPr>
        <w:t>.</w:t>
      </w:r>
      <w:r>
        <w:rPr>
          <w:rFonts w:hint="eastAsia" w:hAnsi="宋体" w:cs="宋体"/>
          <w:lang w:val="en-US" w:eastAsia="zh-CN"/>
        </w:rPr>
        <w:t>2</w:t>
      </w:r>
      <w:r>
        <w:rPr>
          <w:rFonts w:hint="eastAsia" w:hAnsi="宋体" w:cs="宋体"/>
        </w:rPr>
        <w:t xml:space="preserve"> </w:t>
      </w:r>
      <w:r>
        <w:fldChar w:fldCharType="begin"/>
      </w:r>
      <w:r>
        <w:instrText xml:space="preserve"> HYPERLINK \l "_Toc87452565" </w:instrText>
      </w:r>
      <w:r>
        <w:fldChar w:fldCharType="separate"/>
      </w:r>
      <w:r>
        <w:rPr>
          <w:rFonts w:hint="eastAsia" w:hAnsi="宋体" w:cs="宋体"/>
          <w:lang w:val="en-US" w:eastAsia="zh-CN"/>
        </w:rPr>
        <w:t>停车场</w:t>
      </w:r>
      <w:r>
        <w:rPr>
          <w:rFonts w:hint="eastAsia" w:hAnsi="宋体" w:cs="宋体"/>
        </w:rPr>
        <w:t>（库）</w:t>
      </w:r>
      <w:r>
        <w:rPr>
          <w:rFonts w:hint="eastAsia" w:hAnsi="宋体" w:cs="宋体"/>
          <w:lang w:val="en-US" w:eastAsia="zh-CN"/>
        </w:rPr>
        <w:t>设施构成</w:t>
      </w:r>
      <w:r>
        <w:rPr>
          <w:rFonts w:hint="eastAsia" w:hAnsi="宋体" w:cs="宋体"/>
        </w:rPr>
        <w:tab/>
      </w:r>
      <w:r>
        <w:rPr>
          <w:rFonts w:hint="eastAsia" w:hAnsi="宋体" w:cs="宋体"/>
          <w:lang w:val="en-US" w:eastAsia="zh-CN"/>
        </w:rPr>
        <w:t>8</w:t>
      </w:r>
      <w:r>
        <w:rPr>
          <w:rFonts w:hint="eastAsia" w:hAnsi="宋体" w:cs="宋体"/>
        </w:rPr>
        <w:fldChar w:fldCharType="end"/>
      </w:r>
    </w:p>
    <w:p w14:paraId="0A84AF8C">
      <w:pPr>
        <w:pStyle w:val="20"/>
        <w:tabs>
          <w:tab w:val="right" w:leader="dot" w:pos="9344"/>
        </w:tabs>
        <w:rPr>
          <w:rFonts w:hAnsi="宋体" w:cs="宋体"/>
        </w:rPr>
      </w:pPr>
      <w:r>
        <w:rPr>
          <w:rStyle w:val="35"/>
          <w:rFonts w:hint="eastAsia" w:hAnsi="宋体" w:cs="宋体"/>
        </w:rPr>
        <w:t>6 基地</w:t>
      </w:r>
      <w:r>
        <w:fldChar w:fldCharType="begin"/>
      </w:r>
      <w:r>
        <w:instrText xml:space="preserve"> HYPERLINK \l "_Toc87452565" </w:instrText>
      </w:r>
      <w:r>
        <w:fldChar w:fldCharType="separate"/>
      </w:r>
      <w:r>
        <w:rPr>
          <w:rFonts w:hint="eastAsia" w:hAnsi="宋体" w:cs="宋体"/>
        </w:rPr>
        <w:t>和总平面</w:t>
      </w:r>
      <w:r>
        <w:rPr>
          <w:rFonts w:hint="eastAsia" w:hAnsi="宋体" w:cs="宋体"/>
        </w:rPr>
        <w:tab/>
      </w:r>
      <w:r>
        <w:rPr>
          <w:rFonts w:hint="eastAsia" w:hAnsi="宋体" w:cs="宋体"/>
        </w:rPr>
        <w:t>9</w:t>
      </w:r>
      <w:r>
        <w:rPr>
          <w:rFonts w:hint="eastAsia" w:hAnsi="宋体" w:cs="宋体"/>
        </w:rPr>
        <w:fldChar w:fldCharType="end"/>
      </w:r>
    </w:p>
    <w:p w14:paraId="3FCF057B">
      <w:pPr>
        <w:pStyle w:val="20"/>
        <w:tabs>
          <w:tab w:val="right" w:leader="dot" w:pos="9344"/>
        </w:tabs>
        <w:rPr>
          <w:rFonts w:hint="eastAsia" w:hAnsi="宋体" w:eastAsia="宋体" w:cs="宋体"/>
          <w:lang w:eastAsia="zh-CN"/>
        </w:rPr>
      </w:pPr>
      <w:r>
        <w:rPr>
          <w:rFonts w:hint="eastAsia" w:hAnsi="宋体" w:cs="宋体"/>
        </w:rPr>
        <w:t xml:space="preserve">7 </w:t>
      </w:r>
      <w:r>
        <w:fldChar w:fldCharType="begin"/>
      </w:r>
      <w:r>
        <w:instrText xml:space="preserve"> HYPERLINK \l "_Toc87452565" </w:instrText>
      </w:r>
      <w:r>
        <w:fldChar w:fldCharType="separate"/>
      </w:r>
      <w:r>
        <w:rPr>
          <w:rFonts w:hint="eastAsia" w:hAnsi="宋体" w:cs="宋体"/>
        </w:rPr>
        <w:t>公共停车场（库）</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0</w:t>
      </w:r>
    </w:p>
    <w:p w14:paraId="7131389F">
      <w:pPr>
        <w:pStyle w:val="20"/>
        <w:tabs>
          <w:tab w:val="right" w:leader="dot" w:pos="9344"/>
        </w:tabs>
        <w:ind w:firstLine="210" w:firstLineChars="100"/>
        <w:rPr>
          <w:rFonts w:hint="eastAsia" w:hAnsi="宋体" w:eastAsia="宋体" w:cs="宋体"/>
          <w:lang w:eastAsia="zh-CN"/>
        </w:rPr>
      </w:pPr>
      <w:r>
        <w:rPr>
          <w:rFonts w:hint="eastAsia" w:hAnsi="宋体" w:cs="宋体"/>
        </w:rPr>
        <w:t xml:space="preserve">7.1 </w:t>
      </w:r>
      <w:r>
        <w:fldChar w:fldCharType="begin"/>
      </w:r>
      <w:r>
        <w:instrText xml:space="preserve"> HYPERLINK \l "_Toc87452565" </w:instrText>
      </w:r>
      <w:r>
        <w:fldChar w:fldCharType="separate"/>
      </w:r>
      <w:r>
        <w:rPr>
          <w:rFonts w:hint="eastAsia" w:hAnsi="宋体" w:cs="宋体"/>
        </w:rPr>
        <w:t>机动车停车场（库）</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0</w:t>
      </w:r>
    </w:p>
    <w:p w14:paraId="7D230AE1">
      <w:pPr>
        <w:pStyle w:val="20"/>
        <w:tabs>
          <w:tab w:val="right" w:leader="dot" w:pos="9344"/>
        </w:tabs>
        <w:ind w:firstLine="420" w:firstLineChars="200"/>
        <w:rPr>
          <w:rFonts w:hint="eastAsia" w:hAnsi="宋体" w:eastAsia="宋体" w:cs="宋体"/>
          <w:lang w:eastAsia="zh-CN"/>
        </w:rPr>
      </w:pPr>
      <w:r>
        <w:rPr>
          <w:rFonts w:hint="eastAsia" w:hAnsi="宋体" w:cs="宋体"/>
        </w:rPr>
        <w:t xml:space="preserve">7.1.1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0</w:t>
      </w:r>
    </w:p>
    <w:p w14:paraId="1A3FADD8">
      <w:pPr>
        <w:pStyle w:val="20"/>
        <w:tabs>
          <w:tab w:val="right" w:leader="dot" w:pos="9344"/>
        </w:tabs>
        <w:ind w:firstLine="420" w:firstLineChars="200"/>
        <w:rPr>
          <w:rFonts w:hint="eastAsia" w:hAnsi="宋体" w:eastAsia="宋体" w:cs="宋体"/>
          <w:lang w:eastAsia="zh-CN"/>
        </w:rPr>
      </w:pPr>
      <w:r>
        <w:rPr>
          <w:rFonts w:hint="eastAsia" w:hAnsi="宋体" w:cs="宋体"/>
        </w:rPr>
        <w:t xml:space="preserve">7.1.2 </w:t>
      </w:r>
      <w:r>
        <w:fldChar w:fldCharType="begin"/>
      </w:r>
      <w:r>
        <w:instrText xml:space="preserve"> HYPERLINK \l "_Toc87452565" </w:instrText>
      </w:r>
      <w:r>
        <w:fldChar w:fldCharType="separate"/>
      </w:r>
      <w:r>
        <w:rPr>
          <w:rFonts w:hint="eastAsia" w:hAnsi="宋体" w:cs="宋体"/>
        </w:rPr>
        <w:t>出入口及坡道</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0</w:t>
      </w:r>
    </w:p>
    <w:p w14:paraId="75E86D2F">
      <w:pPr>
        <w:pStyle w:val="20"/>
        <w:tabs>
          <w:tab w:val="right" w:leader="dot" w:pos="9344"/>
        </w:tabs>
        <w:ind w:firstLine="420" w:firstLineChars="200"/>
        <w:rPr>
          <w:rFonts w:hint="eastAsia" w:hAnsi="宋体" w:eastAsia="宋体" w:cs="宋体"/>
          <w:lang w:eastAsia="zh-CN"/>
        </w:rPr>
      </w:pPr>
      <w:r>
        <w:rPr>
          <w:rFonts w:hint="eastAsia" w:hAnsi="宋体" w:cs="宋体"/>
        </w:rPr>
        <w:t xml:space="preserve">7.1.3 </w:t>
      </w:r>
      <w:r>
        <w:fldChar w:fldCharType="begin"/>
      </w:r>
      <w:r>
        <w:instrText xml:space="preserve"> HYPERLINK \l "_Toc87452565" </w:instrText>
      </w:r>
      <w:r>
        <w:fldChar w:fldCharType="separate"/>
      </w:r>
      <w:r>
        <w:rPr>
          <w:rFonts w:hint="eastAsia" w:hAnsi="宋体" w:cs="宋体"/>
        </w:rPr>
        <w:t>停车区域</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1</w:t>
      </w:r>
    </w:p>
    <w:p w14:paraId="5CA3FA69">
      <w:pPr>
        <w:pStyle w:val="20"/>
        <w:tabs>
          <w:tab w:val="right" w:leader="dot" w:pos="9344"/>
        </w:tabs>
        <w:ind w:firstLine="420" w:firstLineChars="200"/>
        <w:rPr>
          <w:rFonts w:hint="eastAsia" w:hAnsi="宋体" w:eastAsia="宋体" w:cs="宋体"/>
          <w:lang w:eastAsia="zh-CN"/>
        </w:rPr>
      </w:pPr>
      <w:r>
        <w:rPr>
          <w:rFonts w:hint="eastAsia" w:hAnsi="宋体" w:cs="宋体"/>
        </w:rPr>
        <w:t xml:space="preserve">7.1.4 </w:t>
      </w:r>
      <w:r>
        <w:fldChar w:fldCharType="begin"/>
      </w:r>
      <w:r>
        <w:instrText xml:space="preserve"> HYPERLINK \l "_Toc87452565" </w:instrText>
      </w:r>
      <w:r>
        <w:fldChar w:fldCharType="separate"/>
      </w:r>
      <w:r>
        <w:rPr>
          <w:rFonts w:hint="eastAsia" w:hAnsi="宋体" w:cs="宋体"/>
        </w:rPr>
        <w:t>地面公共停车场</w:t>
      </w:r>
      <w:r>
        <w:rPr>
          <w:rFonts w:hint="eastAsia" w:hAnsi="宋体" w:cs="宋体"/>
        </w:rPr>
        <w:tab/>
      </w:r>
      <w:r>
        <w:rPr>
          <w:rFonts w:hint="eastAsia" w:hAnsi="宋体" w:cs="宋体"/>
        </w:rPr>
        <w:fldChar w:fldCharType="begin"/>
      </w:r>
      <w:r>
        <w:rPr>
          <w:rFonts w:hint="eastAsia" w:hAnsi="宋体" w:cs="宋体"/>
        </w:rPr>
        <w:instrText xml:space="preserve"> PAGEREF _Toc87452565 \h </w:instrText>
      </w:r>
      <w:r>
        <w:rPr>
          <w:rFonts w:hint="eastAsia" w:hAnsi="宋体" w:cs="宋体"/>
        </w:rPr>
        <w:fldChar w:fldCharType="separate"/>
      </w:r>
      <w:r>
        <w:rPr>
          <w:rFonts w:hint="eastAsia" w:hAnsi="宋体" w:cs="宋体"/>
        </w:rPr>
        <w:t>1</w:t>
      </w:r>
      <w:r>
        <w:rPr>
          <w:rFonts w:hint="eastAsia" w:hAnsi="宋体" w:cs="宋体"/>
        </w:rPr>
        <w:fldChar w:fldCharType="end"/>
      </w:r>
      <w:r>
        <w:rPr>
          <w:rFonts w:hint="eastAsia" w:hAnsi="宋体" w:cs="宋体"/>
        </w:rPr>
        <w:fldChar w:fldCharType="end"/>
      </w:r>
      <w:r>
        <w:rPr>
          <w:rFonts w:hint="eastAsia" w:hAnsi="宋体" w:cs="宋体"/>
          <w:lang w:val="en-US" w:eastAsia="zh-CN"/>
        </w:rPr>
        <w:t>2</w:t>
      </w:r>
    </w:p>
    <w:p w14:paraId="0DA19588">
      <w:pPr>
        <w:pStyle w:val="20"/>
        <w:tabs>
          <w:tab w:val="right" w:leader="dot" w:pos="9344"/>
        </w:tabs>
        <w:ind w:firstLine="210" w:firstLineChars="100"/>
        <w:rPr>
          <w:rFonts w:hint="eastAsia" w:hAnsi="宋体" w:eastAsia="宋体" w:cs="宋体"/>
          <w:lang w:eastAsia="zh-CN"/>
        </w:rPr>
      </w:pPr>
      <w:r>
        <w:rPr>
          <w:rFonts w:hint="eastAsia" w:hAnsi="宋体" w:cs="宋体"/>
        </w:rPr>
        <w:t xml:space="preserve">7.2 </w:t>
      </w:r>
      <w:r>
        <w:fldChar w:fldCharType="begin"/>
      </w:r>
      <w:r>
        <w:instrText xml:space="preserve"> HYPERLINK \l "_Toc87452565" </w:instrText>
      </w:r>
      <w:r>
        <w:fldChar w:fldCharType="separate"/>
      </w:r>
      <w:r>
        <w:rPr>
          <w:rFonts w:hint="eastAsia" w:hAnsi="宋体" w:cs="宋体"/>
        </w:rPr>
        <w:t>非机动车停车场（库）</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3</w:t>
      </w:r>
    </w:p>
    <w:p w14:paraId="322F72E3">
      <w:pPr>
        <w:pStyle w:val="20"/>
        <w:tabs>
          <w:tab w:val="right" w:leader="dot" w:pos="9344"/>
        </w:tabs>
        <w:ind w:firstLine="210" w:firstLineChars="100"/>
        <w:rPr>
          <w:rFonts w:hint="eastAsia" w:hAnsi="宋体" w:eastAsia="宋体" w:cs="宋体"/>
          <w:lang w:eastAsia="zh-CN"/>
        </w:rPr>
      </w:pPr>
      <w:r>
        <w:rPr>
          <w:rFonts w:hint="eastAsia" w:hAnsi="宋体" w:cs="宋体"/>
        </w:rPr>
        <w:t xml:space="preserve">7.3 </w:t>
      </w:r>
      <w:r>
        <w:fldChar w:fldCharType="begin"/>
      </w:r>
      <w:r>
        <w:instrText xml:space="preserve"> HYPERLINK \l "_Toc87452565" </w:instrText>
      </w:r>
      <w:r>
        <w:fldChar w:fldCharType="separate"/>
      </w:r>
      <w:r>
        <w:rPr>
          <w:rFonts w:hint="eastAsia" w:hAnsi="宋体" w:cs="宋体"/>
        </w:rPr>
        <w:t>人民防空地下室</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3</w:t>
      </w:r>
    </w:p>
    <w:p w14:paraId="1C2DBAB4">
      <w:pPr>
        <w:pStyle w:val="20"/>
        <w:tabs>
          <w:tab w:val="right" w:leader="dot" w:pos="9344"/>
        </w:tabs>
        <w:ind w:firstLine="210" w:firstLineChars="100"/>
        <w:rPr>
          <w:rFonts w:hint="eastAsia" w:eastAsia="宋体"/>
          <w:lang w:eastAsia="zh-CN"/>
        </w:rPr>
      </w:pPr>
      <w:r>
        <w:rPr>
          <w:rFonts w:hint="eastAsia" w:hAnsi="宋体" w:cs="宋体"/>
        </w:rPr>
        <w:t xml:space="preserve">7.4 </w:t>
      </w:r>
      <w:r>
        <w:fldChar w:fldCharType="begin"/>
      </w:r>
      <w:r>
        <w:instrText xml:space="preserve"> HYPERLINK \l "_Toc87452565" </w:instrText>
      </w:r>
      <w:r>
        <w:fldChar w:fldCharType="separate"/>
      </w:r>
      <w:r>
        <w:rPr>
          <w:rFonts w:hint="eastAsia" w:hAnsi="宋体" w:cs="宋体"/>
        </w:rPr>
        <w:t>地下室创新设计</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4</w:t>
      </w:r>
    </w:p>
    <w:p w14:paraId="316394EF">
      <w:pPr>
        <w:pStyle w:val="20"/>
        <w:tabs>
          <w:tab w:val="right" w:leader="dot" w:pos="9344"/>
        </w:tabs>
        <w:rPr>
          <w:rFonts w:hint="eastAsia" w:hAnsi="宋体" w:eastAsia="宋体" w:cs="宋体"/>
          <w:lang w:eastAsia="zh-CN"/>
        </w:rPr>
      </w:pPr>
      <w:r>
        <w:rPr>
          <w:rFonts w:hint="eastAsia" w:hAnsi="宋体" w:cs="宋体"/>
        </w:rPr>
        <w:t xml:space="preserve">8 </w:t>
      </w:r>
      <w:r>
        <w:fldChar w:fldCharType="begin"/>
      </w:r>
      <w:r>
        <w:instrText xml:space="preserve"> HYPERLINK \l "_Toc87452565" </w:instrText>
      </w:r>
      <w:r>
        <w:fldChar w:fldCharType="separate"/>
      </w:r>
      <w:r>
        <w:rPr>
          <w:rFonts w:hint="eastAsia" w:hAnsi="宋体" w:cs="宋体"/>
        </w:rPr>
        <w:t>路内停车位</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4</w:t>
      </w:r>
    </w:p>
    <w:p w14:paraId="79BA3161">
      <w:pPr>
        <w:pStyle w:val="20"/>
        <w:tabs>
          <w:tab w:val="right" w:leader="dot" w:pos="9344"/>
        </w:tabs>
        <w:ind w:firstLine="210" w:firstLineChars="100"/>
        <w:rPr>
          <w:rFonts w:hint="eastAsia" w:hAnsi="宋体" w:eastAsia="宋体" w:cs="宋体"/>
          <w:lang w:eastAsia="zh-CN"/>
        </w:rPr>
      </w:pPr>
      <w:r>
        <w:rPr>
          <w:rFonts w:hint="eastAsia" w:hAnsi="宋体" w:cs="宋体"/>
        </w:rPr>
        <w:t xml:space="preserve">8.1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4</w:t>
      </w:r>
    </w:p>
    <w:p w14:paraId="588926E7">
      <w:pPr>
        <w:pStyle w:val="20"/>
        <w:tabs>
          <w:tab w:val="right" w:leader="dot" w:pos="9344"/>
        </w:tabs>
        <w:ind w:firstLine="210" w:firstLineChars="100"/>
        <w:rPr>
          <w:rFonts w:hint="eastAsia" w:hAnsi="宋体" w:eastAsia="宋体" w:cs="宋体"/>
          <w:lang w:eastAsia="zh-CN"/>
        </w:rPr>
      </w:pPr>
      <w:r>
        <w:rPr>
          <w:rFonts w:hint="eastAsia" w:hAnsi="宋体" w:cs="宋体"/>
        </w:rPr>
        <w:t xml:space="preserve">8.2 </w:t>
      </w:r>
      <w:r>
        <w:fldChar w:fldCharType="begin"/>
      </w:r>
      <w:r>
        <w:instrText xml:space="preserve"> HYPERLINK \l "_Toc87452565" </w:instrText>
      </w:r>
      <w:r>
        <w:fldChar w:fldCharType="separate"/>
      </w:r>
      <w:r>
        <w:rPr>
          <w:rFonts w:hint="eastAsia" w:hAnsi="宋体" w:cs="宋体"/>
        </w:rPr>
        <w:t>设置条件</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4</w:t>
      </w:r>
    </w:p>
    <w:p w14:paraId="2C71C94A">
      <w:pPr>
        <w:pStyle w:val="20"/>
        <w:tabs>
          <w:tab w:val="right" w:leader="dot" w:pos="9344"/>
        </w:tabs>
        <w:ind w:firstLine="210" w:firstLineChars="100"/>
        <w:rPr>
          <w:rFonts w:hint="eastAsia" w:hAnsi="宋体" w:eastAsia="宋体" w:cs="宋体"/>
          <w:lang w:eastAsia="zh-CN"/>
        </w:rPr>
      </w:pPr>
      <w:r>
        <w:rPr>
          <w:rFonts w:hint="eastAsia" w:hAnsi="宋体" w:cs="宋体"/>
        </w:rPr>
        <w:t xml:space="preserve">8.3 </w:t>
      </w:r>
      <w:r>
        <w:fldChar w:fldCharType="begin"/>
      </w:r>
      <w:r>
        <w:instrText xml:space="preserve"> HYPERLINK \l "_Toc87452565" </w:instrText>
      </w:r>
      <w:r>
        <w:fldChar w:fldCharType="separate"/>
      </w:r>
      <w:r>
        <w:rPr>
          <w:rFonts w:hint="eastAsia" w:hAnsi="宋体" w:cs="宋体"/>
        </w:rPr>
        <w:t>停车位设计</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6</w:t>
      </w:r>
    </w:p>
    <w:p w14:paraId="249ECF0D">
      <w:pPr>
        <w:pStyle w:val="20"/>
        <w:tabs>
          <w:tab w:val="right" w:leader="dot" w:pos="9344"/>
        </w:tabs>
        <w:rPr>
          <w:rFonts w:hAnsi="宋体" w:cs="宋体"/>
        </w:rPr>
      </w:pPr>
      <w:r>
        <w:rPr>
          <w:rFonts w:hint="eastAsia" w:hAnsi="宋体" w:cs="宋体"/>
        </w:rPr>
        <w:t xml:space="preserve">9 </w:t>
      </w:r>
      <w:r>
        <w:fldChar w:fldCharType="begin"/>
      </w:r>
      <w:r>
        <w:instrText xml:space="preserve"> HYPERLINK \l "_Toc87452565" </w:instrText>
      </w:r>
      <w:r>
        <w:fldChar w:fldCharType="separate"/>
      </w:r>
      <w:r>
        <w:rPr>
          <w:rFonts w:hint="eastAsia" w:hAnsi="宋体" w:cs="宋体"/>
        </w:rPr>
        <w:t>无障碍停车位</w:t>
      </w:r>
      <w:r>
        <w:rPr>
          <w:rFonts w:hint="eastAsia" w:hAnsi="宋体" w:cs="宋体"/>
        </w:rPr>
        <w:tab/>
      </w:r>
      <w:r>
        <w:rPr>
          <w:rFonts w:hint="eastAsia" w:hAnsi="宋体" w:cs="宋体"/>
        </w:rPr>
        <w:t>1</w:t>
      </w:r>
      <w:r>
        <w:rPr>
          <w:rFonts w:hint="eastAsia" w:hAnsi="宋体" w:cs="宋体"/>
          <w:lang w:val="en-US" w:eastAsia="zh-CN"/>
        </w:rPr>
        <w:t>7</w:t>
      </w:r>
      <w:r>
        <w:rPr>
          <w:rFonts w:hint="eastAsia" w:hAnsi="宋体" w:cs="宋体"/>
        </w:rPr>
        <w:fldChar w:fldCharType="end"/>
      </w:r>
    </w:p>
    <w:p w14:paraId="3CCC68E7">
      <w:pPr>
        <w:pStyle w:val="20"/>
        <w:tabs>
          <w:tab w:val="right" w:leader="dot" w:pos="9344"/>
        </w:tabs>
        <w:rPr>
          <w:rFonts w:hint="eastAsia" w:hAnsi="宋体" w:eastAsia="宋体" w:cs="宋体"/>
          <w:lang w:eastAsia="zh-CN"/>
        </w:rPr>
      </w:pPr>
      <w:r>
        <w:rPr>
          <w:rFonts w:hint="eastAsia" w:hAnsi="宋体" w:cs="宋体"/>
        </w:rPr>
        <w:t xml:space="preserve">10 </w:t>
      </w:r>
      <w:r>
        <w:fldChar w:fldCharType="begin"/>
      </w:r>
      <w:r>
        <w:instrText xml:space="preserve"> HYPERLINK \l "_Toc87452565" </w:instrText>
      </w:r>
      <w:r>
        <w:fldChar w:fldCharType="separate"/>
      </w:r>
      <w:r>
        <w:rPr>
          <w:rFonts w:hint="eastAsia" w:hAnsi="宋体" w:cs="宋体"/>
        </w:rPr>
        <w:t>电动汽车分散充电设施</w:t>
      </w:r>
      <w:r>
        <w:rPr>
          <w:rFonts w:hint="eastAsia" w:hAnsi="宋体" w:cs="宋体"/>
        </w:rPr>
        <w:tab/>
      </w:r>
      <w:r>
        <w:rPr>
          <w:rFonts w:hint="eastAsia" w:hAnsi="宋体" w:cs="宋体"/>
        </w:rPr>
        <w:t>1</w:t>
      </w:r>
      <w:r>
        <w:rPr>
          <w:rFonts w:hint="eastAsia" w:hAnsi="宋体" w:cs="宋体"/>
        </w:rPr>
        <w:fldChar w:fldCharType="end"/>
      </w:r>
      <w:r>
        <w:rPr>
          <w:rFonts w:hint="eastAsia" w:hAnsi="宋体" w:cs="宋体"/>
          <w:lang w:val="en-US" w:eastAsia="zh-CN"/>
        </w:rPr>
        <w:t>8</w:t>
      </w:r>
    </w:p>
    <w:p w14:paraId="76A1E760">
      <w:pPr>
        <w:pStyle w:val="20"/>
        <w:tabs>
          <w:tab w:val="right" w:leader="dot" w:pos="9344"/>
        </w:tabs>
        <w:ind w:firstLine="210" w:firstLineChars="100"/>
        <w:rPr>
          <w:rFonts w:hAnsi="宋体" w:cs="宋体"/>
        </w:rPr>
      </w:pPr>
      <w:r>
        <w:rPr>
          <w:rFonts w:hint="eastAsia" w:hAnsi="宋体" w:cs="宋体"/>
        </w:rPr>
        <w:t xml:space="preserve">10.1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8</w:t>
      </w:r>
    </w:p>
    <w:p w14:paraId="634DA20F">
      <w:pPr>
        <w:pStyle w:val="20"/>
        <w:tabs>
          <w:tab w:val="right" w:leader="dot" w:pos="9344"/>
        </w:tabs>
        <w:ind w:firstLine="210" w:firstLineChars="100"/>
        <w:rPr>
          <w:rFonts w:hint="default" w:hAnsi="宋体" w:eastAsia="宋体" w:cs="宋体"/>
          <w:lang w:val="en-US" w:eastAsia="zh-CN"/>
        </w:rPr>
      </w:pPr>
      <w:r>
        <w:rPr>
          <w:rFonts w:hint="eastAsia" w:hAnsi="宋体" w:cs="宋体"/>
        </w:rPr>
        <w:t xml:space="preserve">10.2 </w:t>
      </w:r>
      <w:r>
        <w:fldChar w:fldCharType="begin"/>
      </w:r>
      <w:r>
        <w:instrText xml:space="preserve"> HYPERLINK \l "_Toc87452565" </w:instrText>
      </w:r>
      <w:r>
        <w:fldChar w:fldCharType="separate"/>
      </w:r>
      <w:r>
        <w:rPr>
          <w:rFonts w:hint="eastAsia" w:hAnsi="宋体" w:cs="宋体"/>
        </w:rPr>
        <w:t>设计要求</w:t>
      </w:r>
      <w:r>
        <w:rPr>
          <w:rFonts w:hint="eastAsia" w:hAnsi="宋体" w:cs="宋体"/>
        </w:rPr>
        <w:tab/>
      </w:r>
      <w:r>
        <w:rPr>
          <w:rFonts w:hint="eastAsia" w:hAnsi="宋体" w:cs="宋体"/>
        </w:rPr>
        <w:fldChar w:fldCharType="end"/>
      </w:r>
      <w:r>
        <w:rPr>
          <w:rFonts w:hint="eastAsia" w:hAnsi="宋体" w:cs="宋体"/>
          <w:lang w:val="en-US" w:eastAsia="zh-CN"/>
        </w:rPr>
        <w:t>18</w:t>
      </w:r>
    </w:p>
    <w:p w14:paraId="2B5B2D52">
      <w:pPr>
        <w:pStyle w:val="20"/>
        <w:tabs>
          <w:tab w:val="right" w:leader="dot" w:pos="9344"/>
        </w:tabs>
        <w:rPr>
          <w:rFonts w:hAnsi="宋体" w:cs="宋体"/>
        </w:rPr>
      </w:pPr>
      <w:r>
        <w:rPr>
          <w:rFonts w:hint="eastAsia" w:hAnsi="宋体" w:cs="宋体"/>
        </w:rPr>
        <w:t xml:space="preserve">11 </w:t>
      </w:r>
      <w:r>
        <w:fldChar w:fldCharType="begin"/>
      </w:r>
      <w:r>
        <w:instrText xml:space="preserve"> HYPERLINK \l "_Toc87452565" </w:instrText>
      </w:r>
      <w:r>
        <w:fldChar w:fldCharType="separate"/>
      </w:r>
      <w:r>
        <w:rPr>
          <w:rFonts w:hint="eastAsia" w:hAnsi="宋体" w:cs="宋体"/>
        </w:rPr>
        <w:t>智能化系统</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9</w:t>
      </w:r>
    </w:p>
    <w:p w14:paraId="102DAA84">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11.1 </w:t>
      </w:r>
      <w:r>
        <w:fldChar w:fldCharType="begin"/>
      </w:r>
      <w:r>
        <w:instrText xml:space="preserve"> HYPERLINK \l "_Toc87452565" </w:instrText>
      </w:r>
      <w:r>
        <w:fldChar w:fldCharType="separate"/>
      </w:r>
      <w:r>
        <w:rPr>
          <w:rFonts w:hint="eastAsia" w:hAnsi="宋体" w:cs="宋体"/>
        </w:rPr>
        <w:t>智能设备数据接口要求</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9</w:t>
      </w:r>
    </w:p>
    <w:p w14:paraId="00046058">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9</w:t>
      </w:r>
    </w:p>
    <w:p w14:paraId="3C4A3658">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11.1.2 </w:t>
      </w:r>
      <w:r>
        <w:fldChar w:fldCharType="begin"/>
      </w:r>
      <w:r>
        <w:instrText xml:space="preserve"> HYPERLINK \l "_Toc87452565" </w:instrText>
      </w:r>
      <w:r>
        <w:fldChar w:fldCharType="separate"/>
      </w:r>
      <w:r>
        <w:rPr>
          <w:rFonts w:hint="eastAsia"/>
          <w:lang w:val="en-US" w:eastAsia="zh-CN"/>
        </w:rPr>
        <w:t>停车诱导系统</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9</w:t>
      </w:r>
    </w:p>
    <w:p w14:paraId="79C18296">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11.1.3 </w:t>
      </w:r>
      <w:r>
        <w:fldChar w:fldCharType="begin"/>
      </w:r>
      <w:r>
        <w:instrText xml:space="preserve"> HYPERLINK \l "_Toc87452565" </w:instrText>
      </w:r>
      <w:r>
        <w:fldChar w:fldCharType="separate"/>
      </w:r>
      <w:r>
        <w:rPr>
          <w:rFonts w:hint="eastAsia" w:hAnsi="宋体" w:cs="宋体"/>
        </w:rPr>
        <w:t>停车收费管理系统</w:t>
      </w:r>
      <w:r>
        <w:rPr>
          <w:rFonts w:hint="eastAsia" w:hAnsi="宋体" w:cs="宋体"/>
        </w:rPr>
        <w:tab/>
      </w:r>
      <w:r>
        <w:rPr>
          <w:rFonts w:hint="eastAsia" w:hAnsi="宋体" w:cs="宋体"/>
          <w:lang w:val="en-US" w:eastAsia="zh-CN"/>
        </w:rPr>
        <w:t>1</w:t>
      </w:r>
      <w:r>
        <w:rPr>
          <w:rFonts w:hint="eastAsia" w:hAnsi="宋体" w:cs="宋体"/>
        </w:rPr>
        <w:fldChar w:fldCharType="end"/>
      </w:r>
      <w:r>
        <w:rPr>
          <w:rFonts w:hint="eastAsia" w:hAnsi="宋体" w:cs="宋体"/>
          <w:lang w:val="en-US" w:eastAsia="zh-CN"/>
        </w:rPr>
        <w:t>9</w:t>
      </w:r>
    </w:p>
    <w:p w14:paraId="1DF3D79A">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11.1.4 </w:t>
      </w:r>
      <w:r>
        <w:fldChar w:fldCharType="begin"/>
      </w:r>
      <w:r>
        <w:instrText xml:space="preserve"> HYPERLINK \l "_Toc87452565" </w:instrText>
      </w:r>
      <w:r>
        <w:fldChar w:fldCharType="separate"/>
      </w:r>
      <w:r>
        <w:rPr>
          <w:rFonts w:hint="eastAsia" w:hAnsi="宋体" w:cs="宋体"/>
        </w:rPr>
        <w:t>视频监控系统</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0</w:t>
      </w:r>
    </w:p>
    <w:p w14:paraId="5BCC321C">
      <w:pPr>
        <w:pStyle w:val="20"/>
        <w:tabs>
          <w:tab w:val="right" w:leader="dot" w:pos="9344"/>
        </w:tabs>
        <w:ind w:firstLine="210" w:firstLineChars="100"/>
        <w:rPr>
          <w:rFonts w:hAnsi="宋体" w:cs="宋体"/>
        </w:rPr>
      </w:pPr>
      <w:r>
        <w:rPr>
          <w:rFonts w:hint="eastAsia" w:hAnsi="宋体" w:cs="宋体"/>
        </w:rPr>
        <w:t xml:space="preserve">11.2 </w:t>
      </w:r>
      <w:r>
        <w:fldChar w:fldCharType="begin"/>
      </w:r>
      <w:r>
        <w:instrText xml:space="preserve"> HYPERLINK \l "_Toc87452565" </w:instrText>
      </w:r>
      <w:r>
        <w:fldChar w:fldCharType="separate"/>
      </w:r>
      <w:r>
        <w:rPr>
          <w:rFonts w:hint="eastAsia" w:hAnsi="宋体" w:cs="宋体"/>
        </w:rPr>
        <w:t>智能设施要求</w:t>
      </w:r>
      <w:r>
        <w:rPr>
          <w:rFonts w:hint="eastAsia" w:hAnsi="宋体" w:cs="宋体"/>
        </w:rPr>
        <w:tab/>
      </w:r>
      <w:r>
        <w:rPr>
          <w:rFonts w:hint="eastAsia" w:hAnsi="宋体" w:cs="宋体"/>
        </w:rPr>
        <w:t>2</w:t>
      </w:r>
      <w:r>
        <w:rPr>
          <w:rFonts w:hint="eastAsia" w:hAnsi="宋体" w:cs="宋体"/>
          <w:lang w:val="en-US" w:eastAsia="zh-CN"/>
        </w:rPr>
        <w:t>0</w:t>
      </w:r>
      <w:r>
        <w:rPr>
          <w:rFonts w:hint="eastAsia" w:hAnsi="宋体" w:cs="宋体"/>
        </w:rPr>
        <w:fldChar w:fldCharType="end"/>
      </w:r>
    </w:p>
    <w:p w14:paraId="47628321">
      <w:pPr>
        <w:pStyle w:val="20"/>
        <w:tabs>
          <w:tab w:val="right" w:leader="dot" w:pos="9344"/>
        </w:tabs>
        <w:rPr>
          <w:rFonts w:hint="eastAsia" w:hAnsi="宋体" w:eastAsia="宋体" w:cs="宋体"/>
          <w:lang w:val="en-US" w:eastAsia="zh-CN"/>
        </w:rPr>
      </w:pPr>
      <w:r>
        <w:rPr>
          <w:rFonts w:hint="eastAsia" w:hAnsi="宋体" w:cs="宋体"/>
        </w:rPr>
        <w:t xml:space="preserve">12 </w:t>
      </w:r>
      <w:r>
        <w:fldChar w:fldCharType="begin"/>
      </w:r>
      <w:r>
        <w:instrText xml:space="preserve"> HYPERLINK \l "_Toc87452565" </w:instrText>
      </w:r>
      <w:r>
        <w:fldChar w:fldCharType="separate"/>
      </w:r>
      <w:r>
        <w:rPr>
          <w:rFonts w:hint="eastAsia" w:hAnsi="宋体" w:cs="宋体"/>
        </w:rPr>
        <w:t>其他技术要求</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0</w:t>
      </w:r>
    </w:p>
    <w:p w14:paraId="6A6908DF">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12.1 </w:t>
      </w:r>
      <w:r>
        <w:fldChar w:fldCharType="begin"/>
      </w:r>
      <w:r>
        <w:instrText xml:space="preserve"> HYPERLINK \l "_Toc87452565" </w:instrText>
      </w:r>
      <w:r>
        <w:fldChar w:fldCharType="separate"/>
      </w:r>
      <w:r>
        <w:rPr>
          <w:rFonts w:hint="eastAsia" w:hAnsi="宋体" w:cs="宋体"/>
        </w:rPr>
        <w:t>建筑标准</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1</w:t>
      </w:r>
    </w:p>
    <w:p w14:paraId="4C5AF0D1">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12.2 </w:t>
      </w:r>
      <w:r>
        <w:fldChar w:fldCharType="begin"/>
      </w:r>
      <w:r>
        <w:instrText xml:space="preserve"> HYPERLINK \l "_Toc87452565" </w:instrText>
      </w:r>
      <w:r>
        <w:fldChar w:fldCharType="separate"/>
      </w:r>
      <w:r>
        <w:rPr>
          <w:rFonts w:hint="eastAsia" w:hAnsi="宋体" w:cs="宋体"/>
        </w:rPr>
        <w:t>建筑设备</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1</w:t>
      </w:r>
    </w:p>
    <w:p w14:paraId="20EBC9F3">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12.2.1 </w:t>
      </w:r>
      <w:r>
        <w:fldChar w:fldCharType="begin"/>
      </w:r>
      <w:r>
        <w:instrText xml:space="preserve"> HYPERLINK \l "_Toc87452565" </w:instrText>
      </w:r>
      <w:r>
        <w:fldChar w:fldCharType="separate"/>
      </w:r>
      <w:r>
        <w:rPr>
          <w:rFonts w:hint="eastAsia" w:hAnsi="宋体" w:cs="宋体"/>
        </w:rPr>
        <w:t>给排水系统</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1</w:t>
      </w:r>
    </w:p>
    <w:p w14:paraId="6C95E1A0">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12.2.2 </w:t>
      </w:r>
      <w:r>
        <w:fldChar w:fldCharType="begin"/>
      </w:r>
      <w:r>
        <w:instrText xml:space="preserve"> HYPERLINK \l "_Toc87452565" </w:instrText>
      </w:r>
      <w:r>
        <w:fldChar w:fldCharType="separate"/>
      </w:r>
      <w:r>
        <w:rPr>
          <w:rFonts w:hint="eastAsia" w:hAnsi="宋体" w:cs="宋体"/>
        </w:rPr>
        <w:t>通风（智能通风）系统</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2</w:t>
      </w:r>
    </w:p>
    <w:p w14:paraId="3D0042AE">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12.2.3 </w:t>
      </w:r>
      <w:r>
        <w:fldChar w:fldCharType="begin"/>
      </w:r>
      <w:r>
        <w:instrText xml:space="preserve"> HYPERLINK \l "_Toc87452565" </w:instrText>
      </w:r>
      <w:r>
        <w:fldChar w:fldCharType="separate"/>
      </w:r>
      <w:r>
        <w:rPr>
          <w:rFonts w:hint="eastAsia" w:hAnsi="宋体" w:cs="宋体"/>
        </w:rPr>
        <w:t>电气系统</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3</w:t>
      </w:r>
    </w:p>
    <w:p w14:paraId="5ABDC539">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12.3 </w:t>
      </w:r>
      <w:r>
        <w:fldChar w:fldCharType="begin"/>
      </w:r>
      <w:r>
        <w:instrText xml:space="preserve"> HYPERLINK \l "_Toc87452565" </w:instrText>
      </w:r>
      <w:r>
        <w:fldChar w:fldCharType="separate"/>
      </w:r>
      <w:r>
        <w:rPr>
          <w:rFonts w:hint="eastAsia" w:hAnsi="宋体" w:cs="宋体"/>
        </w:rPr>
        <w:t>安全防护设施</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3</w:t>
      </w:r>
    </w:p>
    <w:p w14:paraId="0C2CAD5F">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12.4 </w:t>
      </w:r>
      <w:r>
        <w:fldChar w:fldCharType="begin"/>
      </w:r>
      <w:r>
        <w:instrText xml:space="preserve"> HYPERLINK \l "_Toc87452565" </w:instrText>
      </w:r>
      <w:r>
        <w:fldChar w:fldCharType="separate"/>
      </w:r>
      <w:r>
        <w:rPr>
          <w:rFonts w:hint="eastAsia" w:hAnsi="宋体" w:cs="宋体"/>
        </w:rPr>
        <w:t>环境保护设施</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4</w:t>
      </w:r>
    </w:p>
    <w:p w14:paraId="196693B7">
      <w:pPr>
        <w:pStyle w:val="20"/>
        <w:tabs>
          <w:tab w:val="right" w:leader="dot" w:pos="9344"/>
        </w:tabs>
        <w:rPr>
          <w:rFonts w:hint="eastAsia" w:hAnsi="宋体" w:eastAsia="宋体" w:cs="宋体"/>
          <w:lang w:val="en-US" w:eastAsia="zh-CN"/>
        </w:rPr>
      </w:pPr>
      <w:r>
        <w:rPr>
          <w:rFonts w:hint="eastAsia" w:hAnsi="宋体" w:cs="宋体"/>
        </w:rPr>
        <w:t xml:space="preserve">12.5 </w:t>
      </w:r>
      <w:r>
        <w:fldChar w:fldCharType="begin"/>
      </w:r>
      <w:r>
        <w:instrText xml:space="preserve"> HYPERLINK \l "_Toc87452565" </w:instrText>
      </w:r>
      <w:r>
        <w:fldChar w:fldCharType="separate"/>
      </w:r>
      <w:r>
        <w:rPr>
          <w:rFonts w:hint="eastAsia" w:hAnsi="宋体" w:cs="宋体"/>
        </w:rPr>
        <w:t>交通工程设施</w:t>
      </w:r>
      <w:r>
        <w:rPr>
          <w:rFonts w:hint="eastAsia" w:hAnsi="宋体" w:cs="宋体"/>
        </w:rPr>
        <w:tab/>
      </w:r>
      <w:r>
        <w:rPr>
          <w:rFonts w:hint="eastAsia" w:hAnsi="宋体" w:cs="宋体"/>
          <w:lang w:val="en-US" w:eastAsia="zh-CN"/>
        </w:rPr>
        <w:t>2</w:t>
      </w:r>
      <w:r>
        <w:rPr>
          <w:rFonts w:hint="eastAsia" w:hAnsi="宋体" w:cs="宋体"/>
        </w:rPr>
        <w:fldChar w:fldCharType="end"/>
      </w:r>
      <w:r>
        <w:rPr>
          <w:rFonts w:hint="eastAsia" w:hAnsi="宋体" w:cs="宋体"/>
          <w:lang w:val="en-US" w:eastAsia="zh-CN"/>
        </w:rPr>
        <w:t>4</w:t>
      </w:r>
    </w:p>
    <w:p w14:paraId="47F4298E">
      <w:pPr>
        <w:pStyle w:val="20"/>
        <w:tabs>
          <w:tab w:val="right" w:leader="dot" w:pos="9344"/>
        </w:tabs>
        <w:jc w:val="left"/>
      </w:pPr>
      <w:r>
        <w:fldChar w:fldCharType="begin"/>
      </w:r>
      <w:r>
        <w:instrText xml:space="preserve"> HYPERLINK \l "_Toc87452566" </w:instrText>
      </w:r>
      <w:r>
        <w:fldChar w:fldCharType="separate"/>
      </w:r>
      <w:r>
        <w:rPr>
          <w:rStyle w:val="35"/>
          <w:spacing w:val="100"/>
        </w:rPr>
        <w:t>附录A</w:t>
      </w:r>
      <w:r>
        <w:rPr>
          <w:rStyle w:val="35"/>
        </w:rPr>
        <w:t xml:space="preserve"> （</w:t>
      </w:r>
      <w:r>
        <w:rPr>
          <w:rStyle w:val="35"/>
          <w:rFonts w:hint="eastAsia"/>
        </w:rPr>
        <w:t>资料</w:t>
      </w:r>
      <w:r>
        <w:rPr>
          <w:rStyle w:val="35"/>
        </w:rPr>
        <w:t xml:space="preserve">性） </w:t>
      </w:r>
      <w:r>
        <w:tab/>
      </w:r>
      <w:r>
        <w:rPr>
          <w:rFonts w:hint="eastAsia"/>
          <w:lang w:val="en-US" w:eastAsia="zh-CN"/>
        </w:rPr>
        <w:t>2</w:t>
      </w:r>
      <w:r>
        <w:rPr>
          <w:rFonts w:hint="eastAsia"/>
        </w:rPr>
        <w:t>5</w:t>
      </w:r>
      <w:r>
        <w:rPr>
          <w:rFonts w:hint="eastAsia"/>
        </w:rPr>
        <w:fldChar w:fldCharType="end"/>
      </w:r>
    </w:p>
    <w:p w14:paraId="0199F9A5">
      <w:pPr>
        <w:pStyle w:val="20"/>
        <w:tabs>
          <w:tab w:val="right" w:leader="dot" w:pos="9344"/>
        </w:tabs>
        <w:rPr>
          <w:rFonts w:hint="eastAsia" w:eastAsia="宋体"/>
          <w:lang w:val="en-US" w:eastAsia="zh-CN"/>
        </w:rPr>
      </w:pPr>
      <w:r>
        <w:fldChar w:fldCharType="begin"/>
      </w:r>
      <w:r>
        <w:instrText xml:space="preserve"> HYPERLINK \l "_Toc87452568" </w:instrText>
      </w:r>
      <w:r>
        <w:fldChar w:fldCharType="separate"/>
      </w:r>
      <w:r>
        <w:rPr>
          <w:rStyle w:val="35"/>
          <w:spacing w:val="105"/>
        </w:rPr>
        <w:t>参考文</w:t>
      </w:r>
      <w:r>
        <w:rPr>
          <w:rStyle w:val="35"/>
        </w:rPr>
        <w:t>献</w:t>
      </w:r>
      <w:r>
        <w:tab/>
      </w:r>
      <w:r>
        <w:rPr>
          <w:rFonts w:hint="eastAsia"/>
          <w:lang w:val="en-US" w:eastAsia="zh-CN"/>
        </w:rPr>
        <w:t>2</w:t>
      </w:r>
      <w:r>
        <w:rPr>
          <w:rFonts w:hint="eastAsia"/>
        </w:rPr>
        <w:fldChar w:fldCharType="end"/>
      </w:r>
      <w:r>
        <w:rPr>
          <w:rFonts w:hint="eastAsia"/>
          <w:lang w:val="en-US" w:eastAsia="zh-CN"/>
        </w:rPr>
        <w:t>9</w:t>
      </w:r>
    </w:p>
    <w:p w14:paraId="35D4457A">
      <w:pPr>
        <w:pStyle w:val="20"/>
        <w:tabs>
          <w:tab w:val="right" w:leader="dot" w:pos="9344"/>
        </w:tabs>
        <w:rPr>
          <w:rFonts w:hint="eastAsia" w:eastAsia="宋体" w:asciiTheme="minorHAnsi" w:hAnsiTheme="minorHAnsi" w:cstheme="minorBidi"/>
          <w:szCs w:val="22"/>
          <w:lang w:val="en-US" w:eastAsia="zh-CN"/>
        </w:rPr>
      </w:pPr>
      <w:r>
        <w:rPr>
          <w:rFonts w:hint="eastAsia"/>
        </w:rPr>
        <w:t>附：条 文 说 明</w:t>
      </w:r>
      <w:r>
        <w:fldChar w:fldCharType="begin"/>
      </w:r>
      <w:r>
        <w:instrText xml:space="preserve"> HYPERLINK \l "_Toc87452568" </w:instrText>
      </w:r>
      <w:r>
        <w:fldChar w:fldCharType="separate"/>
      </w:r>
      <w:r>
        <w:tab/>
      </w:r>
      <w:r>
        <w:rPr>
          <w:rFonts w:hint="eastAsia"/>
          <w:lang w:val="en-US" w:eastAsia="zh-CN"/>
        </w:rPr>
        <w:t>3</w:t>
      </w:r>
      <w:r>
        <w:rPr>
          <w:rFonts w:hint="eastAsia"/>
        </w:rPr>
        <w:fldChar w:fldCharType="end"/>
      </w:r>
      <w:r>
        <w:rPr>
          <w:rFonts w:hint="eastAsia"/>
          <w:lang w:val="en-US" w:eastAsia="zh-CN"/>
        </w:rPr>
        <w:t>0</w:t>
      </w:r>
    </w:p>
    <w:p w14:paraId="010C073A">
      <w:pPr>
        <w:pStyle w:val="95"/>
        <w:spacing w:after="468"/>
        <w:sectPr>
          <w:headerReference r:id="rId10" w:type="default"/>
          <w:footerReference r:id="rId12" w:type="default"/>
          <w:headerReference r:id="rId11" w:type="even"/>
          <w:pgSz w:w="11906" w:h="16838"/>
          <w:pgMar w:top="2410" w:right="1134" w:bottom="1134" w:left="1134" w:header="1418" w:footer="1134" w:gutter="284"/>
          <w:pgNumType w:fmt="upperRoman" w:start="1"/>
          <w:cols w:space="425" w:num="1"/>
          <w:formProt w:val="0"/>
          <w:docGrid w:type="lines" w:linePitch="312" w:charSpace="0"/>
        </w:sectPr>
      </w:pPr>
    </w:p>
    <w:bookmarkEnd w:id="19"/>
    <w:p w14:paraId="3D7AE20C">
      <w:pPr>
        <w:pStyle w:val="93"/>
        <w:spacing w:after="468"/>
      </w:pPr>
      <w:bookmarkStart w:id="20" w:name="_Toc87452561"/>
      <w:bookmarkStart w:id="21" w:name="BookMark2"/>
      <w:r>
        <w:rPr>
          <w:spacing w:val="320"/>
        </w:rPr>
        <w:t>前</w:t>
      </w:r>
      <w:r>
        <w:t>言</w:t>
      </w:r>
      <w:bookmarkEnd w:id="20"/>
    </w:p>
    <w:p w14:paraId="1FE8F7EF">
      <w:pPr>
        <w:pStyle w:val="60"/>
        <w:ind w:firstLine="420"/>
        <w:jc w:val="left"/>
        <w:rPr>
          <w:color w:val="000000" w:themeColor="text1"/>
          <w14:textFill>
            <w14:solidFill>
              <w14:schemeClr w14:val="tx1"/>
            </w14:solidFill>
          </w14:textFill>
        </w:rPr>
      </w:pPr>
      <w:r>
        <w:t xml:space="preserve"> </w:t>
      </w:r>
      <w:r>
        <w:rPr>
          <w:rFonts w:hint="eastAsia"/>
          <w:color w:val="000000" w:themeColor="text1"/>
          <w14:textFill>
            <w14:solidFill>
              <w14:schemeClr w14:val="tx1"/>
            </w14:solidFill>
          </w14:textFill>
        </w:rPr>
        <w:t>本文件按照</w:t>
      </w:r>
      <w:r>
        <w:rPr>
          <w:color w:val="000000" w:themeColor="text1"/>
          <w14:textFill>
            <w14:solidFill>
              <w14:schemeClr w14:val="tx1"/>
            </w14:solidFill>
          </w14:textFill>
        </w:rPr>
        <w:t>GB/T 1.1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《标准化工作导则</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第</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部分：标准化文件的结构和起草规则》的规定起草。</w:t>
      </w:r>
    </w:p>
    <w:p w14:paraId="42B2B9B3">
      <w:pPr>
        <w:pStyle w:val="60"/>
        <w:ind w:firstLine="420"/>
        <w:jc w:val="left"/>
        <w:rPr>
          <w:color w:val="000000" w:themeColor="text1"/>
          <w14:textFill>
            <w14:solidFill>
              <w14:schemeClr w14:val="tx1"/>
            </w14:solidFill>
          </w14:textFill>
        </w:rPr>
      </w:pPr>
    </w:p>
    <w:p w14:paraId="62EBB8F4">
      <w:pPr>
        <w:pStyle w:val="60"/>
        <w:ind w:firstLine="420"/>
      </w:pPr>
      <w:r>
        <w:rPr>
          <w:rFonts w:hint="eastAsia"/>
        </w:rPr>
        <w:t xml:space="preserve">请注意本文件的某些内容可能涉及专利。本文件的发布机构不承担识别专利的责任。 </w:t>
      </w:r>
    </w:p>
    <w:p w14:paraId="0B26BF13">
      <w:pPr>
        <w:pStyle w:val="60"/>
        <w:ind w:firstLine="420"/>
      </w:pPr>
      <w:r>
        <w:rPr>
          <w:rFonts w:hint="eastAsia"/>
        </w:rPr>
        <w:t>本文件由厦门市</w:t>
      </w:r>
      <w:r>
        <w:t>住房和建设</w:t>
      </w:r>
      <w:r>
        <w:rPr>
          <w:rFonts w:hint="eastAsia"/>
        </w:rPr>
        <w:t>局提出并归口。</w:t>
      </w:r>
    </w:p>
    <w:p w14:paraId="1BFB83CA">
      <w:pPr>
        <w:pStyle w:val="60"/>
        <w:ind w:firstLine="420"/>
      </w:pPr>
      <w:r>
        <w:rPr>
          <w:rFonts w:hint="eastAsia"/>
        </w:rPr>
        <w:t>本文件起草单位：厦门市政空间资源投资有限公司、厦门合立道工程设计集团股份有限公司、</w:t>
      </w:r>
    </w:p>
    <w:p w14:paraId="24B4DF26">
      <w:pPr>
        <w:pStyle w:val="60"/>
        <w:ind w:firstLine="420"/>
      </w:pPr>
      <w:r>
        <w:rPr>
          <w:rFonts w:hint="eastAsia"/>
        </w:rPr>
        <w:t>厦门市城市规划设计研究院有限公司</w:t>
      </w:r>
    </w:p>
    <w:p w14:paraId="02D8E949">
      <w:pPr>
        <w:pStyle w:val="60"/>
        <w:ind w:firstLine="420"/>
      </w:pPr>
      <w:r>
        <w:rPr>
          <w:rFonts w:hint="eastAsia"/>
        </w:rPr>
        <w:t>本文件主要起草人：</w:t>
      </w:r>
    </w:p>
    <w:p w14:paraId="63697F19">
      <w:pPr>
        <w:pStyle w:val="60"/>
        <w:ind w:firstLine="0" w:firstLineChars="0"/>
      </w:pPr>
    </w:p>
    <w:p w14:paraId="5B524C23">
      <w:pPr>
        <w:pStyle w:val="60"/>
        <w:ind w:firstLine="420"/>
      </w:pPr>
    </w:p>
    <w:p w14:paraId="728A8AEF">
      <w:pPr>
        <w:pStyle w:val="60"/>
        <w:ind w:firstLine="420"/>
        <w:sectPr>
          <w:pgSz w:w="11906" w:h="16838"/>
          <w:pgMar w:top="2410" w:right="1134" w:bottom="1134" w:left="1134" w:header="1418" w:footer="1134" w:gutter="284"/>
          <w:pgNumType w:fmt="upperRoman"/>
          <w:cols w:space="425" w:num="1"/>
          <w:formProt w:val="0"/>
          <w:docGrid w:type="lines" w:linePitch="312" w:charSpace="0"/>
        </w:sectPr>
      </w:pPr>
    </w:p>
    <w:bookmarkEnd w:id="21"/>
    <w:p w14:paraId="00B40B73">
      <w:pPr>
        <w:spacing w:line="20" w:lineRule="exact"/>
        <w:jc w:val="center"/>
        <w:rPr>
          <w:rFonts w:ascii="黑体" w:hAnsi="黑体" w:eastAsia="黑体"/>
          <w:sz w:val="32"/>
          <w:szCs w:val="32"/>
        </w:rPr>
      </w:pPr>
      <w:bookmarkStart w:id="22" w:name="BookMark4"/>
    </w:p>
    <w:p w14:paraId="4ACF3D0C">
      <w:pPr>
        <w:spacing w:line="20" w:lineRule="exact"/>
        <w:jc w:val="center"/>
        <w:rPr>
          <w:rFonts w:ascii="黑体" w:hAnsi="黑体" w:eastAsia="黑体"/>
          <w:sz w:val="32"/>
          <w:szCs w:val="32"/>
        </w:rPr>
      </w:pPr>
    </w:p>
    <w:sdt>
      <w:sdtPr>
        <w:tag w:val="NEW_STAND_NAME"/>
        <w:id w:val="595910757"/>
        <w:lock w:val="sdtLocked"/>
        <w:placeholder>
          <w:docPart w:val="88B075CAF8AB422087D7F73D75B56C88"/>
        </w:placeholder>
      </w:sdtPr>
      <w:sdtContent>
        <w:p w14:paraId="6DDB77BE">
          <w:pPr>
            <w:pStyle w:val="181"/>
            <w:spacing w:before="0" w:beforeLines="0" w:after="686" w:afterLines="220"/>
          </w:pPr>
          <w:bookmarkStart w:id="23" w:name="NEW_STAND_NAME"/>
          <w:r>
            <w:rPr>
              <w:rFonts w:hint="eastAsia"/>
            </w:rPr>
            <w:t>公共停车场（库）技术规范</w:t>
          </w:r>
        </w:p>
      </w:sdtContent>
    </w:sdt>
    <w:bookmarkEnd w:id="23"/>
    <w:p w14:paraId="414C1984">
      <w:pPr>
        <w:pStyle w:val="108"/>
        <w:spacing w:before="312" w:after="312"/>
      </w:pPr>
      <w:bookmarkStart w:id="24" w:name="_Toc24884211"/>
      <w:bookmarkStart w:id="25" w:name="_Toc26718930"/>
      <w:bookmarkStart w:id="26" w:name="_Toc26986771"/>
      <w:bookmarkStart w:id="27" w:name="_Toc17233325"/>
      <w:bookmarkStart w:id="28" w:name="_Toc26986530"/>
      <w:bookmarkStart w:id="29" w:name="_Toc26648465"/>
      <w:bookmarkStart w:id="30" w:name="_Toc17233333"/>
      <w:bookmarkStart w:id="31" w:name="_Toc24884218"/>
      <w:bookmarkStart w:id="32" w:name="_Toc87452563"/>
      <w:r>
        <w:rPr>
          <w:rFonts w:hint="eastAsia"/>
        </w:rPr>
        <w:t>范围</w:t>
      </w:r>
      <w:bookmarkEnd w:id="24"/>
      <w:bookmarkEnd w:id="25"/>
      <w:bookmarkEnd w:id="26"/>
      <w:bookmarkEnd w:id="27"/>
      <w:bookmarkEnd w:id="28"/>
      <w:bookmarkEnd w:id="29"/>
      <w:bookmarkEnd w:id="30"/>
      <w:bookmarkEnd w:id="31"/>
      <w:bookmarkEnd w:id="32"/>
    </w:p>
    <w:p w14:paraId="35CB6182">
      <w:pPr>
        <w:pStyle w:val="60"/>
        <w:ind w:firstLine="420"/>
      </w:pPr>
      <w:bookmarkStart w:id="33" w:name="_Toc26648466"/>
      <w:bookmarkStart w:id="34" w:name="_Toc24884212"/>
      <w:bookmarkStart w:id="35" w:name="_Toc17233334"/>
      <w:bookmarkStart w:id="36" w:name="_Toc17233326"/>
      <w:bookmarkStart w:id="37" w:name="_Toc24884219"/>
      <w:r>
        <w:rPr>
          <w:rFonts w:hint="eastAsia"/>
        </w:rPr>
        <w:t>本文件规定了公共停车场（库）技术的范围、规范性引用文件、术语和定义、基本规定、建设规模与构成、基地和总平面、公共停车场（库）、路内停车位、无障碍停车位、电动汽车分散充电设施、智能化系统、其他技术要求。</w:t>
      </w:r>
    </w:p>
    <w:p w14:paraId="2D1A64F1">
      <w:pPr>
        <w:pStyle w:val="60"/>
        <w:ind w:firstLine="420"/>
      </w:pPr>
      <w:r>
        <w:rPr>
          <w:rFonts w:hint="eastAsia"/>
        </w:rPr>
        <w:t>本文件适用于厦门市内新建、改建、扩建的公共停车场（库），包括建筑物配建</w:t>
      </w:r>
      <w:r>
        <w:t>公共</w:t>
      </w:r>
      <w:r>
        <w:rPr>
          <w:rFonts w:hint="eastAsia"/>
        </w:rPr>
        <w:t>停车场(库)、城市公共停车场（库）及路内停车位的设置。</w:t>
      </w:r>
    </w:p>
    <w:p w14:paraId="41183E23">
      <w:pPr>
        <w:pStyle w:val="60"/>
        <w:ind w:firstLine="420"/>
      </w:pPr>
      <w:r>
        <w:rPr>
          <w:rFonts w:hint="eastAsia"/>
        </w:rPr>
        <w:t>公共停车场（库）的设置除应执行本文件外，尚应符合国家及福建省、厦门市现行有关标准的规</w:t>
      </w:r>
    </w:p>
    <w:p w14:paraId="5BC2BA1C">
      <w:pPr>
        <w:pStyle w:val="60"/>
        <w:ind w:firstLine="0" w:firstLineChars="0"/>
      </w:pPr>
      <w:r>
        <w:rPr>
          <w:rFonts w:hint="eastAsia"/>
        </w:rPr>
        <w:t>定。</w:t>
      </w:r>
    </w:p>
    <w:p w14:paraId="0BB905C4">
      <w:pPr>
        <w:pStyle w:val="108"/>
        <w:spacing w:before="312" w:after="312"/>
      </w:pPr>
      <w:bookmarkStart w:id="38" w:name="_Toc26718931"/>
      <w:bookmarkStart w:id="39" w:name="_Toc26986772"/>
      <w:bookmarkStart w:id="40" w:name="_Toc26986531"/>
      <w:bookmarkStart w:id="41" w:name="_Toc87452564"/>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6AFFB8477EF845ECAD09146D79B5D254"/>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28670EB5">
          <w:pPr>
            <w:pStyle w:val="60"/>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9257C39">
      <w:pPr>
        <w:pStyle w:val="60"/>
        <w:ind w:firstLine="420"/>
      </w:pPr>
      <w:r>
        <w:rPr>
          <w:rFonts w:hint="eastAsia"/>
        </w:rPr>
        <w:t>JGJ</w:t>
      </w:r>
      <w:r>
        <w:t xml:space="preserve"> 100</w:t>
      </w:r>
      <w:r>
        <w:rPr>
          <w:rFonts w:hint="eastAsia"/>
        </w:rPr>
        <w:t xml:space="preserve">  《车库建筑设计规范》</w:t>
      </w:r>
    </w:p>
    <w:p w14:paraId="0E186E9D">
      <w:pPr>
        <w:pStyle w:val="60"/>
        <w:ind w:firstLine="420"/>
      </w:pPr>
      <w:r>
        <w:rPr>
          <w:rFonts w:hint="eastAsia"/>
        </w:rPr>
        <w:t>GB 50016  《建筑设计防火规范》</w:t>
      </w:r>
    </w:p>
    <w:p w14:paraId="1F9AD443">
      <w:pPr>
        <w:pStyle w:val="60"/>
        <w:ind w:firstLine="420"/>
      </w:pPr>
      <w:r>
        <w:rPr>
          <w:rFonts w:hint="eastAsia"/>
        </w:rPr>
        <w:t>GB</w:t>
      </w:r>
      <w:r>
        <w:t xml:space="preserve"> 50067</w:t>
      </w:r>
      <w:r>
        <w:rPr>
          <w:rFonts w:hint="eastAsia"/>
        </w:rPr>
        <w:t xml:space="preserve">  《汽车库、修车库、停车场设计防火规范》</w:t>
      </w:r>
    </w:p>
    <w:p w14:paraId="06484297">
      <w:pPr>
        <w:pStyle w:val="60"/>
        <w:ind w:firstLine="420"/>
        <w:rPr>
          <w:rFonts w:hAnsi="宋体" w:cs="宋体"/>
          <w:kern w:val="2"/>
          <w:szCs w:val="21"/>
          <w:lang w:bidi="ar"/>
        </w:rPr>
      </w:pPr>
      <w:r>
        <w:rPr>
          <w:rFonts w:hint="eastAsia" w:hAnsi="宋体" w:cs="宋体"/>
          <w:kern w:val="2"/>
          <w:szCs w:val="21"/>
          <w:lang w:bidi="ar"/>
        </w:rPr>
        <w:t xml:space="preserve">GB 5768  《道路交通标志和标线》  </w:t>
      </w:r>
    </w:p>
    <w:p w14:paraId="52CAB8B2">
      <w:pPr>
        <w:pStyle w:val="60"/>
        <w:ind w:firstLine="420"/>
        <w:rPr>
          <w:rFonts w:hAnsi="宋体" w:cs="宋体"/>
          <w:kern w:val="2"/>
          <w:szCs w:val="21"/>
          <w:lang w:bidi="ar"/>
        </w:rPr>
      </w:pPr>
      <w:r>
        <w:rPr>
          <w:rFonts w:hint="eastAsia" w:hAnsi="宋体" w:cs="宋体"/>
          <w:kern w:val="2"/>
          <w:szCs w:val="21"/>
          <w:lang w:bidi="ar"/>
        </w:rPr>
        <w:t xml:space="preserve">GB 51038  《城市道路交通标志和标线设置规范》 </w:t>
      </w:r>
    </w:p>
    <w:p w14:paraId="2081DB85">
      <w:pPr>
        <w:pStyle w:val="60"/>
        <w:ind w:firstLine="420"/>
        <w:rPr>
          <w:rFonts w:hAnsi="宋体" w:cs="宋体"/>
          <w:kern w:val="2"/>
          <w:szCs w:val="21"/>
          <w:lang w:bidi="ar"/>
        </w:rPr>
      </w:pPr>
      <w:r>
        <w:rPr>
          <w:rFonts w:hint="eastAsia" w:hAnsi="宋体" w:cs="宋体"/>
          <w:kern w:val="2"/>
          <w:szCs w:val="21"/>
          <w:lang w:bidi="ar"/>
        </w:rPr>
        <w:t xml:space="preserve">CJJ 37  《城市道路工程设计规范》 </w:t>
      </w:r>
    </w:p>
    <w:p w14:paraId="03F48913">
      <w:pPr>
        <w:pStyle w:val="60"/>
        <w:ind w:firstLine="420"/>
        <w:rPr>
          <w:rFonts w:hint="eastAsia" w:hAnsi="宋体" w:cs="宋体"/>
          <w:kern w:val="2"/>
          <w:szCs w:val="21"/>
          <w:lang w:bidi="ar"/>
        </w:rPr>
      </w:pPr>
      <w:r>
        <w:rPr>
          <w:rFonts w:hint="eastAsia" w:hAnsi="宋体" w:cs="宋体"/>
          <w:kern w:val="2"/>
          <w:szCs w:val="21"/>
          <w:lang w:bidi="ar"/>
        </w:rPr>
        <w:t>GA/T 850  《城市道路内停车位设置规范》</w:t>
      </w:r>
    </w:p>
    <w:p w14:paraId="17C62032">
      <w:pPr>
        <w:pStyle w:val="60"/>
        <w:ind w:firstLine="420"/>
      </w:pPr>
      <w:r>
        <w:rPr>
          <w:rFonts w:hAnsi="宋体" w:cs="宋体"/>
          <w:szCs w:val="21"/>
          <w:shd w:val="clear" w:color="auto" w:fill="FFFFFF"/>
          <w:lang w:bidi="ar"/>
        </w:rPr>
        <w:t>GB 50647</w:t>
      </w:r>
      <w:r>
        <w:rPr>
          <w:rFonts w:hint="eastAsia" w:hAnsi="宋体" w:cs="宋体"/>
          <w:szCs w:val="21"/>
          <w:shd w:val="clear" w:color="auto" w:fill="FFFFFF"/>
          <w:lang w:bidi="ar"/>
        </w:rPr>
        <w:t xml:space="preserve">  《</w:t>
      </w:r>
      <w:r>
        <w:rPr>
          <w:rFonts w:hAnsi="宋体" w:cs="宋体"/>
          <w:szCs w:val="21"/>
          <w:shd w:val="clear" w:color="auto" w:fill="FFFFFF"/>
          <w:lang w:bidi="ar"/>
        </w:rPr>
        <w:t>城市道路交叉口设计规程</w:t>
      </w:r>
      <w:r>
        <w:rPr>
          <w:rFonts w:hint="eastAsia" w:hAnsi="宋体" w:cs="宋体"/>
          <w:szCs w:val="21"/>
          <w:shd w:val="clear" w:color="auto" w:fill="FFFFFF"/>
          <w:lang w:bidi="ar"/>
        </w:rPr>
        <w:t>》</w:t>
      </w:r>
    </w:p>
    <w:p w14:paraId="6874D181">
      <w:pPr>
        <w:pStyle w:val="60"/>
        <w:ind w:firstLine="420"/>
        <w:rPr>
          <w:color w:val="000000"/>
        </w:rPr>
      </w:pPr>
      <w:r>
        <w:rPr>
          <w:rFonts w:hint="eastAsia"/>
          <w:color w:val="000000"/>
        </w:rPr>
        <w:t>GB</w:t>
      </w:r>
      <w:r>
        <w:rPr>
          <w:color w:val="000000"/>
        </w:rPr>
        <w:t>/T 51149</w:t>
      </w:r>
      <w:r>
        <w:rPr>
          <w:rFonts w:hint="eastAsia"/>
          <w:color w:val="000000"/>
        </w:rPr>
        <w:t xml:space="preserve">  《城市停车规划规范》</w:t>
      </w:r>
    </w:p>
    <w:p w14:paraId="1E72C565">
      <w:pPr>
        <w:pStyle w:val="60"/>
        <w:ind w:firstLine="420"/>
        <w:rPr>
          <w:color w:val="000000"/>
        </w:rPr>
      </w:pPr>
      <w:r>
        <w:rPr>
          <w:rFonts w:hint="eastAsia" w:hAnsi="宋体" w:cs="宋体"/>
          <w:kern w:val="2"/>
          <w:szCs w:val="21"/>
          <w:lang w:bidi="ar"/>
        </w:rPr>
        <w:t xml:space="preserve">GB 50763  《无障碍设计规范》 </w:t>
      </w:r>
    </w:p>
    <w:p w14:paraId="1F284647">
      <w:pPr>
        <w:pStyle w:val="60"/>
        <w:ind w:firstLine="420"/>
      </w:pPr>
      <w:r>
        <w:rPr>
          <w:rFonts w:hint="eastAsia"/>
        </w:rPr>
        <w:t>GB</w:t>
      </w:r>
      <w:r>
        <w:t xml:space="preserve"> 55019 </w:t>
      </w:r>
      <w:r>
        <w:rPr>
          <w:rFonts w:hint="eastAsia"/>
        </w:rPr>
        <w:t xml:space="preserve"> 《建筑与市政工程无障碍通用规范》</w:t>
      </w:r>
    </w:p>
    <w:p w14:paraId="30D4AED0">
      <w:pPr>
        <w:pStyle w:val="60"/>
        <w:ind w:firstLine="420"/>
      </w:pPr>
      <w:r>
        <w:rPr>
          <w:rFonts w:hint="eastAsia"/>
        </w:rPr>
        <w:t>GB</w:t>
      </w:r>
      <w:r>
        <w:t xml:space="preserve"> 55031</w:t>
      </w:r>
      <w:r>
        <w:rPr>
          <w:rFonts w:hint="eastAsia"/>
        </w:rPr>
        <w:t xml:space="preserve">  《民用建筑通用规范》</w:t>
      </w:r>
    </w:p>
    <w:p w14:paraId="6D93FC79">
      <w:pPr>
        <w:pStyle w:val="60"/>
        <w:ind w:firstLine="420"/>
        <w:rPr>
          <w:rFonts w:hAnsi="宋体" w:cs="宋体"/>
          <w:kern w:val="2"/>
          <w:szCs w:val="21"/>
          <w:lang w:bidi="ar"/>
        </w:rPr>
      </w:pPr>
      <w:r>
        <w:rPr>
          <w:rFonts w:hint="eastAsia" w:hAnsi="宋体" w:cs="宋体"/>
          <w:kern w:val="2"/>
          <w:szCs w:val="21"/>
          <w:lang w:bidi="ar"/>
        </w:rPr>
        <w:t>GB 50038  《人民防空地下室设计规范》</w:t>
      </w:r>
    </w:p>
    <w:p w14:paraId="72C709BE">
      <w:pPr>
        <w:pStyle w:val="60"/>
        <w:ind w:firstLine="420"/>
      </w:pPr>
      <w:r>
        <w:rPr>
          <w:rFonts w:hint="eastAsia" w:hAnsi="宋体" w:cs="宋体"/>
          <w:kern w:val="2"/>
          <w:szCs w:val="21"/>
          <w:lang w:bidi="ar"/>
        </w:rPr>
        <w:t>GB 50098  《人民防空工程设计防火规范》</w:t>
      </w:r>
    </w:p>
    <w:p w14:paraId="4646091A">
      <w:pPr>
        <w:pStyle w:val="60"/>
        <w:ind w:firstLine="420"/>
        <w:rPr>
          <w:rFonts w:hAnsi="宋体" w:cs="宋体"/>
          <w:szCs w:val="21"/>
          <w:shd w:val="clear" w:color="auto" w:fill="FFFFFF"/>
          <w:lang w:bidi="ar"/>
        </w:rPr>
      </w:pPr>
      <w:r>
        <w:rPr>
          <w:rFonts w:hint="eastAsia" w:hAnsi="宋体" w:cs="宋体"/>
          <w:szCs w:val="21"/>
          <w:shd w:val="clear" w:color="auto" w:fill="FFFFFF"/>
          <w:lang w:bidi="ar"/>
        </w:rPr>
        <w:t>GB/T 51313  《电动汽车分散充电设施工程技术标准》</w:t>
      </w:r>
    </w:p>
    <w:p w14:paraId="40982941">
      <w:pPr>
        <w:pStyle w:val="60"/>
        <w:ind w:firstLine="420"/>
        <w:rPr>
          <w:rFonts w:hAnsi="宋体" w:cs="宋体"/>
          <w:szCs w:val="21"/>
          <w:shd w:val="clear" w:color="auto" w:fill="FFFFFF"/>
          <w:lang w:bidi="ar"/>
        </w:rPr>
      </w:pPr>
      <w:r>
        <w:rPr>
          <w:rFonts w:hint="eastAsia" w:hAnsi="宋体" w:cs="宋体"/>
          <w:szCs w:val="21"/>
          <w:shd w:val="clear" w:color="auto" w:fill="FFFFFF"/>
          <w:lang w:bidi="ar"/>
        </w:rPr>
        <w:t>NB/T 33009  《电动汽车充换电设施建设技术导则》</w:t>
      </w:r>
    </w:p>
    <w:p w14:paraId="4A0160E6">
      <w:pPr>
        <w:pStyle w:val="60"/>
        <w:ind w:firstLine="420"/>
        <w:rPr>
          <w:rFonts w:hAnsi="宋体" w:cs="宋体"/>
        </w:rPr>
      </w:pPr>
      <w:r>
        <w:rPr>
          <w:rFonts w:hint="eastAsia" w:hAnsi="宋体" w:cs="宋体"/>
          <w:szCs w:val="21"/>
          <w:shd w:val="clear" w:color="auto" w:fill="FFFFFF"/>
          <w:lang w:bidi="ar"/>
        </w:rPr>
        <w:t xml:space="preserve">DB32/T 3904-2020  </w:t>
      </w:r>
      <w:r>
        <w:rPr>
          <w:rFonts w:hAnsi="宋体" w:cs="宋体"/>
          <w:szCs w:val="21"/>
          <w:shd w:val="clear" w:color="auto" w:fill="FFFFFF"/>
          <w:lang w:bidi="ar"/>
        </w:rPr>
        <w:t>《</w:t>
      </w:r>
      <w:r>
        <w:rPr>
          <w:rFonts w:hint="eastAsia" w:hAnsi="宋体" w:cs="宋体"/>
          <w:szCs w:val="21"/>
          <w:shd w:val="clear" w:color="auto" w:fill="FFFFFF"/>
          <w:lang w:bidi="ar"/>
        </w:rPr>
        <w:t>江苏省电动自行车停放充电场所消防技术规范</w:t>
      </w:r>
      <w:r>
        <w:rPr>
          <w:rFonts w:hAnsi="宋体" w:cs="宋体"/>
          <w:szCs w:val="21"/>
          <w:shd w:val="clear" w:color="auto" w:fill="FFFFFF"/>
          <w:lang w:bidi="ar"/>
        </w:rPr>
        <w:t>》</w:t>
      </w:r>
    </w:p>
    <w:p w14:paraId="7B3524A1">
      <w:pPr>
        <w:pStyle w:val="60"/>
        <w:ind w:firstLine="420"/>
        <w:rPr>
          <w:rFonts w:hAnsi="宋体" w:cs="宋体"/>
          <w:szCs w:val="21"/>
          <w:shd w:val="clear" w:color="auto" w:fill="FFFFFF"/>
          <w:lang w:bidi="ar"/>
        </w:rPr>
      </w:pPr>
      <w:r>
        <w:rPr>
          <w:rFonts w:hint="eastAsia" w:hAnsi="宋体" w:cs="宋体"/>
          <w:szCs w:val="21"/>
          <w:shd w:val="clear" w:color="auto" w:fill="FFFFFF"/>
          <w:lang w:bidi="ar"/>
        </w:rPr>
        <w:t>DBJ/T 15-150-2018  《广东省电动汽车充电基础设施建设技术规程》</w:t>
      </w:r>
    </w:p>
    <w:p w14:paraId="10D7E4FF">
      <w:pPr>
        <w:pStyle w:val="60"/>
        <w:ind w:firstLine="420"/>
        <w:rPr>
          <w:rFonts w:hAnsi="宋体" w:cs="宋体"/>
          <w:szCs w:val="21"/>
          <w:shd w:val="clear" w:color="auto" w:fill="FFFFFF"/>
          <w:lang w:bidi="ar"/>
        </w:rPr>
      </w:pPr>
      <w:r>
        <w:rPr>
          <w:rFonts w:hint="eastAsia" w:hAnsi="宋体" w:cs="宋体"/>
          <w:szCs w:val="21"/>
          <w:shd w:val="clear" w:color="auto" w:fill="FFFFFF"/>
          <w:lang w:bidi="ar"/>
        </w:rPr>
        <w:t xml:space="preserve">DBJ 46-041-2022  </w:t>
      </w:r>
      <w:r>
        <w:rPr>
          <w:rFonts w:hAnsi="宋体" w:cs="宋体"/>
          <w:szCs w:val="21"/>
          <w:shd w:val="clear" w:color="auto" w:fill="FFFFFF"/>
          <w:lang w:bidi="ar"/>
        </w:rPr>
        <w:t>《海南省电动汽车充电设施建设技术标准》</w:t>
      </w:r>
    </w:p>
    <w:p w14:paraId="35FAD395">
      <w:pPr>
        <w:pStyle w:val="60"/>
        <w:ind w:firstLine="412"/>
        <w:rPr>
          <w:rFonts w:hAnsi="宋体" w:cs="宋体"/>
          <w:spacing w:val="-2"/>
          <w:kern w:val="2"/>
          <w:szCs w:val="21"/>
          <w:lang w:bidi="ar"/>
        </w:rPr>
      </w:pPr>
      <w:r>
        <w:rPr>
          <w:rFonts w:hint="eastAsia" w:hAnsi="宋体" w:cs="宋体"/>
          <w:spacing w:val="-2"/>
          <w:kern w:val="2"/>
          <w:szCs w:val="21"/>
          <w:lang w:bidi="ar"/>
        </w:rPr>
        <w:t>GB</w:t>
      </w:r>
      <w:r>
        <w:rPr>
          <w:rFonts w:hAnsi="宋体" w:cs="宋体"/>
          <w:spacing w:val="-2"/>
          <w:kern w:val="2"/>
          <w:szCs w:val="21"/>
          <w:lang w:bidi="ar"/>
        </w:rPr>
        <w:t xml:space="preserve"> </w:t>
      </w:r>
      <w:r>
        <w:rPr>
          <w:rFonts w:hint="eastAsia" w:hAnsi="宋体" w:cs="宋体"/>
          <w:spacing w:val="-2"/>
          <w:kern w:val="2"/>
          <w:szCs w:val="21"/>
          <w:lang w:bidi="ar"/>
        </w:rPr>
        <w:t>55020  《建筑给水排水与节水通用规范》</w:t>
      </w:r>
      <w:r>
        <w:rPr>
          <w:rFonts w:hAnsi="宋体" w:cs="宋体"/>
          <w:spacing w:val="-2"/>
          <w:kern w:val="2"/>
          <w:szCs w:val="21"/>
          <w:lang w:bidi="ar"/>
        </w:rPr>
        <w:t xml:space="preserve"> </w:t>
      </w:r>
    </w:p>
    <w:p w14:paraId="291590B5">
      <w:pPr>
        <w:pStyle w:val="60"/>
        <w:ind w:firstLine="412"/>
        <w:rPr>
          <w:rFonts w:hAnsi="宋体" w:cs="宋体"/>
          <w:spacing w:val="-2"/>
          <w:kern w:val="2"/>
          <w:szCs w:val="21"/>
          <w:lang w:bidi="ar"/>
        </w:rPr>
      </w:pPr>
      <w:r>
        <w:rPr>
          <w:rFonts w:hint="eastAsia" w:hAnsi="宋体" w:cs="宋体"/>
          <w:spacing w:val="-2"/>
          <w:kern w:val="2"/>
          <w:szCs w:val="21"/>
          <w:lang w:bidi="ar"/>
        </w:rPr>
        <w:t>GB</w:t>
      </w:r>
      <w:r>
        <w:rPr>
          <w:rFonts w:hAnsi="宋体" w:cs="宋体"/>
          <w:spacing w:val="-2"/>
          <w:kern w:val="2"/>
          <w:szCs w:val="21"/>
          <w:lang w:bidi="ar"/>
        </w:rPr>
        <w:t xml:space="preserve"> </w:t>
      </w:r>
      <w:r>
        <w:rPr>
          <w:rFonts w:hint="eastAsia" w:hAnsi="宋体" w:cs="宋体"/>
          <w:spacing w:val="-2"/>
          <w:kern w:val="2"/>
          <w:szCs w:val="21"/>
          <w:lang w:bidi="ar"/>
        </w:rPr>
        <w:t>50015  《建筑给水排水设计标准》</w:t>
      </w:r>
    </w:p>
    <w:p w14:paraId="0865421F">
      <w:pPr>
        <w:pStyle w:val="60"/>
        <w:ind w:firstLine="384"/>
        <w:rPr>
          <w:rFonts w:hAnsi="宋体" w:cs="宋体"/>
          <w:spacing w:val="-9"/>
          <w:kern w:val="2"/>
          <w:szCs w:val="21"/>
          <w:lang w:bidi="ar"/>
        </w:rPr>
      </w:pPr>
      <w:r>
        <w:rPr>
          <w:rFonts w:hint="eastAsia" w:hAnsi="宋体" w:cs="宋体"/>
          <w:spacing w:val="-9"/>
          <w:kern w:val="2"/>
          <w:szCs w:val="21"/>
          <w:lang w:bidi="ar"/>
        </w:rPr>
        <w:t>GB</w:t>
      </w:r>
      <w:r>
        <w:rPr>
          <w:rFonts w:hAnsi="宋体" w:cs="宋体"/>
          <w:spacing w:val="-9"/>
          <w:kern w:val="2"/>
          <w:szCs w:val="21"/>
          <w:lang w:bidi="ar"/>
        </w:rPr>
        <w:t xml:space="preserve"> </w:t>
      </w:r>
      <w:r>
        <w:rPr>
          <w:rFonts w:hint="eastAsia" w:hAnsi="宋体" w:cs="宋体"/>
          <w:spacing w:val="-9"/>
          <w:kern w:val="2"/>
          <w:szCs w:val="21"/>
          <w:lang w:bidi="ar"/>
        </w:rPr>
        <w:t>55036  《消防设施通用规范》</w:t>
      </w:r>
    </w:p>
    <w:p w14:paraId="123CAA36">
      <w:pPr>
        <w:pStyle w:val="60"/>
        <w:ind w:firstLine="384"/>
        <w:rPr>
          <w:rFonts w:hAnsi="宋体" w:cs="宋体"/>
          <w:spacing w:val="-9"/>
          <w:kern w:val="2"/>
          <w:szCs w:val="21"/>
          <w:lang w:bidi="ar"/>
        </w:rPr>
      </w:pPr>
      <w:r>
        <w:rPr>
          <w:rFonts w:hint="eastAsia" w:hAnsi="宋体" w:cs="宋体"/>
          <w:spacing w:val="-9"/>
          <w:kern w:val="2"/>
          <w:szCs w:val="21"/>
          <w:lang w:bidi="ar"/>
        </w:rPr>
        <w:t xml:space="preserve">GB 50974 </w:t>
      </w:r>
      <w:r>
        <w:rPr>
          <w:rFonts w:hAnsi="宋体" w:cs="宋体"/>
          <w:spacing w:val="-9"/>
          <w:kern w:val="2"/>
          <w:szCs w:val="21"/>
          <w:lang w:bidi="ar"/>
        </w:rPr>
        <w:t xml:space="preserve"> </w:t>
      </w:r>
      <w:r>
        <w:rPr>
          <w:rFonts w:hint="eastAsia" w:hAnsi="宋体" w:cs="宋体"/>
          <w:spacing w:val="-9"/>
          <w:kern w:val="2"/>
          <w:szCs w:val="21"/>
          <w:lang w:bidi="ar"/>
        </w:rPr>
        <w:t>《消防给水及消火栓系统技术规范》</w:t>
      </w:r>
    </w:p>
    <w:p w14:paraId="0A5C833F">
      <w:pPr>
        <w:pStyle w:val="60"/>
        <w:ind w:firstLine="412"/>
        <w:rPr>
          <w:rFonts w:hAnsi="宋体" w:cs="宋体"/>
          <w:spacing w:val="-2"/>
          <w:kern w:val="2"/>
          <w:szCs w:val="21"/>
          <w:lang w:bidi="ar"/>
        </w:rPr>
      </w:pPr>
      <w:r>
        <w:rPr>
          <w:rFonts w:hint="eastAsia" w:hAnsi="宋体" w:cs="宋体"/>
          <w:spacing w:val="-2"/>
          <w:kern w:val="2"/>
          <w:szCs w:val="21"/>
          <w:lang w:bidi="ar"/>
        </w:rPr>
        <w:t>GB 50140  《建筑灭火器配置设计规范》</w:t>
      </w:r>
      <w:r>
        <w:rPr>
          <w:rFonts w:hAnsi="宋体" w:cs="宋体"/>
          <w:spacing w:val="-2"/>
          <w:kern w:val="2"/>
          <w:szCs w:val="21"/>
          <w:lang w:bidi="ar"/>
        </w:rPr>
        <w:t xml:space="preserve"> </w:t>
      </w:r>
    </w:p>
    <w:p w14:paraId="1C6D8A3A">
      <w:pPr>
        <w:pStyle w:val="60"/>
        <w:ind w:firstLine="420"/>
        <w:rPr>
          <w:rFonts w:hAnsi="宋体" w:cs="宋体"/>
          <w:kern w:val="2"/>
          <w:szCs w:val="21"/>
          <w:lang w:bidi="ar"/>
        </w:rPr>
      </w:pPr>
      <w:r>
        <w:rPr>
          <w:rFonts w:hint="eastAsia" w:hAnsi="宋体" w:cs="宋体"/>
          <w:kern w:val="2"/>
          <w:szCs w:val="21"/>
          <w:lang w:bidi="ar"/>
        </w:rPr>
        <w:t>GB 8978</w:t>
      </w:r>
      <w:r>
        <w:rPr>
          <w:rFonts w:hAnsi="宋体" w:cs="宋体"/>
          <w:kern w:val="2"/>
          <w:szCs w:val="21"/>
          <w:lang w:bidi="ar"/>
        </w:rPr>
        <w:t xml:space="preserve"> </w:t>
      </w:r>
      <w:r>
        <w:rPr>
          <w:rFonts w:hint="eastAsia" w:hAnsi="宋体" w:cs="宋体"/>
          <w:kern w:val="2"/>
          <w:szCs w:val="21"/>
          <w:lang w:bidi="ar"/>
        </w:rPr>
        <w:t xml:space="preserve"> 《污水综合排放标准》</w:t>
      </w:r>
      <w:r>
        <w:rPr>
          <w:rFonts w:hAnsi="宋体" w:cs="宋体"/>
          <w:kern w:val="2"/>
          <w:szCs w:val="21"/>
          <w:lang w:bidi="ar"/>
        </w:rPr>
        <w:t xml:space="preserve"> </w:t>
      </w:r>
    </w:p>
    <w:p w14:paraId="015EBAC9">
      <w:pPr>
        <w:pStyle w:val="60"/>
        <w:ind w:firstLine="420"/>
        <w:rPr>
          <w:rFonts w:hAnsi="宋体" w:cs="宋体"/>
          <w:kern w:val="2"/>
          <w:szCs w:val="21"/>
          <w:lang w:bidi="ar"/>
        </w:rPr>
      </w:pPr>
      <w:r>
        <w:rPr>
          <w:rFonts w:hint="eastAsia" w:hAnsi="宋体" w:cs="宋体"/>
          <w:kern w:val="2"/>
          <w:szCs w:val="21"/>
          <w:lang w:bidi="ar"/>
        </w:rPr>
        <w:t>GB 50400</w:t>
      </w:r>
      <w:r>
        <w:rPr>
          <w:rFonts w:hAnsi="宋体" w:cs="宋体"/>
          <w:kern w:val="2"/>
          <w:szCs w:val="21"/>
          <w:lang w:bidi="ar"/>
        </w:rPr>
        <w:t xml:space="preserve"> </w:t>
      </w:r>
      <w:r>
        <w:rPr>
          <w:rFonts w:hint="eastAsia" w:hAnsi="宋体" w:cs="宋体"/>
          <w:kern w:val="2"/>
          <w:szCs w:val="21"/>
          <w:lang w:bidi="ar"/>
        </w:rPr>
        <w:t xml:space="preserve"> 《建筑与小区雨水利用工程技术规范》</w:t>
      </w:r>
    </w:p>
    <w:p w14:paraId="79410CDA">
      <w:pPr>
        <w:pStyle w:val="60"/>
        <w:ind w:firstLine="420"/>
        <w:rPr>
          <w:rFonts w:hAnsi="宋体" w:cs="宋体"/>
          <w:szCs w:val="21"/>
          <w:shd w:val="clear" w:color="auto" w:fill="FFFFFF"/>
          <w:lang w:bidi="ar"/>
        </w:rPr>
      </w:pPr>
      <w:r>
        <w:rPr>
          <w:rFonts w:hint="eastAsia" w:hAnsi="宋体" w:cs="宋体"/>
          <w:szCs w:val="21"/>
          <w:shd w:val="clear" w:color="auto" w:fill="FFFFFF"/>
          <w:lang w:bidi="ar"/>
        </w:rPr>
        <w:t>GB 51251  《建筑防烟排烟系统技术标准》</w:t>
      </w:r>
    </w:p>
    <w:p w14:paraId="0E9BC7D9">
      <w:pPr>
        <w:pStyle w:val="60"/>
        <w:ind w:firstLine="420"/>
        <w:rPr>
          <w:rFonts w:hAnsi="宋体" w:cs="宋体"/>
          <w:szCs w:val="21"/>
          <w:shd w:val="clear" w:color="auto" w:fill="FFFFFF"/>
          <w:lang w:bidi="ar"/>
        </w:rPr>
      </w:pPr>
      <w:r>
        <w:rPr>
          <w:rFonts w:hint="eastAsia" w:hAnsi="宋体" w:cs="宋体"/>
          <w:szCs w:val="21"/>
          <w:shd w:val="clear" w:color="auto" w:fill="FFFFFF"/>
          <w:lang w:bidi="ar"/>
        </w:rPr>
        <w:t>GB 51348  《民用建筑电气设计标准》</w:t>
      </w:r>
    </w:p>
    <w:p w14:paraId="20A39075">
      <w:pPr>
        <w:pStyle w:val="60"/>
        <w:ind w:firstLine="400"/>
        <w:rPr>
          <w:rFonts w:hAnsi="宋体" w:cs="宋体"/>
          <w:spacing w:val="-5"/>
          <w:kern w:val="2"/>
          <w:szCs w:val="21"/>
          <w:lang w:bidi="ar"/>
        </w:rPr>
      </w:pPr>
      <w:r>
        <w:rPr>
          <w:rFonts w:hint="eastAsia" w:hAnsi="宋体" w:cs="宋体"/>
          <w:spacing w:val="-5"/>
          <w:kern w:val="2"/>
          <w:szCs w:val="21"/>
          <w:lang w:bidi="ar"/>
        </w:rPr>
        <w:t>DBJ 13-278  《</w:t>
      </w:r>
      <w:r>
        <w:rPr>
          <w:rFonts w:hint="eastAsia" w:hAnsi="宋体" w:cs="宋体"/>
          <w:kern w:val="2"/>
          <w:szCs w:val="21"/>
          <w:lang w:bidi="ar"/>
        </w:rPr>
        <w:t>福建省电动汽车充电基础设</w:t>
      </w:r>
      <w:r>
        <w:rPr>
          <w:rFonts w:hint="eastAsia" w:hAnsi="宋体" w:cs="宋体"/>
          <w:spacing w:val="-10"/>
          <w:kern w:val="2"/>
          <w:szCs w:val="21"/>
          <w:lang w:bidi="ar"/>
        </w:rPr>
        <w:t>施</w:t>
      </w:r>
      <w:r>
        <w:rPr>
          <w:rFonts w:hint="eastAsia" w:hAnsi="宋体" w:cs="宋体"/>
          <w:kern w:val="2"/>
          <w:szCs w:val="21"/>
          <w:lang w:bidi="ar"/>
        </w:rPr>
        <w:t>建设技术</w:t>
      </w:r>
      <w:r>
        <w:rPr>
          <w:rFonts w:hint="eastAsia" w:hAnsi="宋体" w:cs="宋体"/>
          <w:spacing w:val="-5"/>
          <w:kern w:val="2"/>
          <w:szCs w:val="21"/>
          <w:lang w:bidi="ar"/>
        </w:rPr>
        <w:t>规程》</w:t>
      </w:r>
    </w:p>
    <w:p w14:paraId="398BE696">
      <w:pPr>
        <w:pStyle w:val="60"/>
        <w:ind w:firstLine="420"/>
        <w:rPr>
          <w:rFonts w:hAnsi="宋体" w:cs="宋体"/>
          <w:szCs w:val="21"/>
          <w:shd w:val="clear" w:color="auto" w:fill="FFFFFF"/>
          <w:lang w:bidi="ar"/>
        </w:rPr>
      </w:pPr>
      <w:r>
        <w:rPr>
          <w:rFonts w:hint="eastAsia" w:hAnsi="宋体" w:cs="宋体"/>
          <w:szCs w:val="21"/>
          <w:shd w:val="clear" w:color="auto" w:fill="FFFFFF"/>
          <w:lang w:bidi="ar"/>
        </w:rPr>
        <w:t>GB 50057  《建筑物防雷设计规范》</w:t>
      </w:r>
    </w:p>
    <w:p w14:paraId="6AB16FEE">
      <w:pPr>
        <w:pStyle w:val="60"/>
        <w:ind w:firstLine="420"/>
        <w:rPr>
          <w:rFonts w:hAnsi="宋体" w:cs="宋体"/>
          <w:szCs w:val="21"/>
          <w:shd w:val="clear" w:color="auto" w:fill="FFFFFF"/>
          <w:lang w:bidi="ar"/>
        </w:rPr>
      </w:pPr>
      <w:r>
        <w:rPr>
          <w:rFonts w:hint="eastAsia" w:hAnsi="宋体" w:cs="宋体"/>
          <w:kern w:val="2"/>
          <w:szCs w:val="21"/>
          <w:lang w:bidi="ar"/>
        </w:rPr>
        <w:t>GB 50116  《火灾自动报警系统设计规范》</w:t>
      </w:r>
      <w:r>
        <w:rPr>
          <w:rFonts w:hAnsi="宋体" w:cs="宋体"/>
          <w:kern w:val="2"/>
          <w:szCs w:val="21"/>
          <w:lang w:bidi="ar"/>
        </w:rPr>
        <w:t xml:space="preserve"> </w:t>
      </w:r>
    </w:p>
    <w:p w14:paraId="78B22518">
      <w:pPr>
        <w:pStyle w:val="108"/>
        <w:spacing w:before="312" w:after="312"/>
      </w:pPr>
      <w:bookmarkStart w:id="42" w:name="_Toc87452565"/>
      <w:r>
        <w:rPr>
          <w:rFonts w:hint="eastAsia"/>
        </w:rPr>
        <w:t>术语和定义</w:t>
      </w:r>
      <w:bookmarkEnd w:id="42"/>
    </w:p>
    <w:sdt>
      <w:sdtPr>
        <w:id w:val="-1"/>
        <w:placeholder>
          <w:docPart w:val="384725B32AAA4D8791F04EF452E9FE96"/>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7A88E14F">
          <w:pPr>
            <w:pStyle w:val="60"/>
            <w:ind w:firstLine="420"/>
            <w:rPr>
              <w:rFonts w:hAnsi="宋体" w:cs="宋体"/>
            </w:rPr>
          </w:pPr>
          <w:bookmarkStart w:id="43" w:name="_Toc26986532"/>
          <w:bookmarkEnd w:id="43"/>
          <w:r>
            <w:rPr>
              <w:rFonts w:ascii="Calibri" w:hAnsi="Calibri"/>
              <w:kern w:val="2"/>
              <w:szCs w:val="21"/>
            </w:rPr>
            <w:t>下列术语和定义适用于本文件。</w:t>
          </w:r>
        </w:p>
      </w:sdtContent>
    </w:sdt>
    <w:p w14:paraId="185D89DA">
      <w:pPr>
        <w:pStyle w:val="108"/>
        <w:numPr>
          <w:ilvl w:val="2"/>
          <w:numId w:val="2"/>
        </w:numPr>
        <w:spacing w:before="0" w:beforeLines="0" w:after="0" w:afterLines="0"/>
        <w:outlineLvl w:val="9"/>
        <w:rPr>
          <w:rFonts w:ascii="宋体" w:hAnsi="宋体" w:eastAsia="宋体" w:cs="宋体"/>
        </w:rPr>
      </w:pPr>
    </w:p>
    <w:p w14:paraId="520BECA8">
      <w:pPr>
        <w:ind w:firstLine="420" w:firstLineChars="200"/>
      </w:pPr>
      <w:r>
        <w:rPr>
          <w:rFonts w:hint="eastAsia"/>
        </w:rPr>
        <w:t>公共停车场（库） public parking lot(garages)</w:t>
      </w:r>
    </w:p>
    <w:p w14:paraId="6F3C1F44">
      <w:r>
        <w:rPr>
          <w:rFonts w:hint="eastAsia"/>
        </w:rPr>
        <w:t>为社会车辆提供停车服务的停车场（库），包括公共停车场（库）和公共建筑物停车场（库）。</w:t>
      </w:r>
    </w:p>
    <w:p w14:paraId="1424E4F1">
      <w:pPr>
        <w:pStyle w:val="108"/>
        <w:numPr>
          <w:ilvl w:val="2"/>
          <w:numId w:val="2"/>
        </w:numPr>
        <w:spacing w:before="0" w:beforeLines="0" w:after="0" w:afterLines="0"/>
        <w:outlineLvl w:val="9"/>
        <w:rPr>
          <w:rFonts w:ascii="宋体" w:hAnsi="宋体" w:eastAsia="宋体" w:cs="宋体"/>
        </w:rPr>
      </w:pPr>
    </w:p>
    <w:p w14:paraId="707FAA51">
      <w:pPr>
        <w:pStyle w:val="108"/>
        <w:numPr>
          <w:ilvl w:val="1"/>
          <w:numId w:val="0"/>
        </w:numPr>
        <w:spacing w:before="0" w:beforeLines="0" w:after="0" w:afterLines="0"/>
        <w:ind w:firstLine="420" w:firstLineChars="200"/>
        <w:outlineLvl w:val="9"/>
        <w:rPr>
          <w:rFonts w:ascii="宋体" w:hAnsi="宋体" w:eastAsia="宋体" w:cs="宋体"/>
        </w:rPr>
      </w:pPr>
      <w:r>
        <w:rPr>
          <w:rFonts w:hint="eastAsia" w:ascii="宋体" w:hAnsi="宋体" w:eastAsia="宋体" w:cs="宋体"/>
        </w:rPr>
        <w:t>建设项目配建停车设施 parking facilities for construction projects</w:t>
      </w:r>
    </w:p>
    <w:p w14:paraId="663DB8DD">
      <w:pPr>
        <w:pStyle w:val="108"/>
        <w:numPr>
          <w:ilvl w:val="1"/>
          <w:numId w:val="0"/>
        </w:numPr>
        <w:spacing w:before="0" w:beforeLines="0" w:after="0" w:afterLines="0"/>
        <w:outlineLvl w:val="9"/>
        <w:rPr>
          <w:rFonts w:ascii="宋体" w:hAnsi="宋体" w:eastAsia="宋体" w:cs="宋体"/>
        </w:rPr>
      </w:pPr>
      <w:r>
        <w:rPr>
          <w:rFonts w:hint="eastAsia" w:ascii="宋体" w:hAnsi="宋体" w:eastAsia="宋体" w:cs="宋体"/>
        </w:rPr>
        <w:t>建筑物建设时需配套建设的为本建筑内各类人员及外来人员提供机动车停放的专用场所。</w:t>
      </w:r>
    </w:p>
    <w:p w14:paraId="33B7FF64">
      <w:pPr>
        <w:pStyle w:val="108"/>
        <w:numPr>
          <w:ilvl w:val="2"/>
          <w:numId w:val="2"/>
        </w:numPr>
        <w:spacing w:before="0" w:beforeLines="0" w:after="0" w:afterLines="0"/>
        <w:outlineLvl w:val="9"/>
        <w:rPr>
          <w:rFonts w:ascii="宋体" w:hAnsi="宋体" w:eastAsia="宋体" w:cs="宋体"/>
        </w:rPr>
      </w:pPr>
    </w:p>
    <w:p w14:paraId="1B434636">
      <w:pPr>
        <w:pStyle w:val="60"/>
        <w:ind w:firstLine="0" w:firstLineChars="0"/>
        <w:rPr>
          <w:rFonts w:hAnsi="宋体" w:cs="宋体"/>
        </w:rPr>
      </w:pPr>
      <w:r>
        <w:rPr>
          <w:rFonts w:hint="eastAsia" w:hAnsi="宋体" w:cs="宋体"/>
          <w:b/>
          <w:bCs/>
        </w:rPr>
        <w:t xml:space="preserve">    </w:t>
      </w:r>
      <w:r>
        <w:rPr>
          <w:rFonts w:hint="eastAsia" w:hAnsi="宋体" w:cs="宋体"/>
        </w:rPr>
        <w:t>V/C比值 V/C ratio</w:t>
      </w:r>
    </w:p>
    <w:p w14:paraId="310B09B0">
      <w:pPr>
        <w:pStyle w:val="108"/>
        <w:numPr>
          <w:ilvl w:val="1"/>
          <w:numId w:val="0"/>
        </w:numPr>
        <w:spacing w:before="0" w:beforeLines="0" w:after="0" w:afterLines="0"/>
        <w:outlineLvl w:val="9"/>
        <w:rPr>
          <w:rFonts w:ascii="宋体" w:hAnsi="宋体" w:eastAsia="宋体" w:cs="宋体"/>
        </w:rPr>
      </w:pPr>
      <w:r>
        <w:rPr>
          <w:rFonts w:hint="eastAsia" w:ascii="宋体" w:hAnsi="宋体" w:eastAsia="宋体" w:cs="宋体"/>
        </w:rPr>
        <w:t>路段交通量（V）与基本通行能力（C）的比值，反应道路的服务水平。</w:t>
      </w:r>
    </w:p>
    <w:p w14:paraId="3F8DC44B">
      <w:pPr>
        <w:pStyle w:val="108"/>
        <w:numPr>
          <w:ilvl w:val="2"/>
          <w:numId w:val="2"/>
        </w:numPr>
        <w:spacing w:before="0" w:beforeLines="0" w:after="0" w:afterLines="0"/>
        <w:outlineLvl w:val="9"/>
        <w:rPr>
          <w:rFonts w:ascii="宋体" w:hAnsi="宋体" w:eastAsia="宋体" w:cs="宋体"/>
        </w:rPr>
      </w:pPr>
    </w:p>
    <w:p w14:paraId="0839DC77">
      <w:pPr>
        <w:pStyle w:val="60"/>
        <w:ind w:firstLine="420"/>
        <w:rPr>
          <w:rFonts w:hAnsi="宋体" w:cs="宋体"/>
          <w:szCs w:val="21"/>
        </w:rPr>
      </w:pPr>
      <w:r>
        <w:rPr>
          <w:rFonts w:hint="eastAsia" w:hAnsi="宋体" w:cs="宋体"/>
        </w:rPr>
        <w:t xml:space="preserve">基地  bases  </w:t>
      </w:r>
    </w:p>
    <w:p w14:paraId="77753565">
      <w:pPr>
        <w:pStyle w:val="60"/>
        <w:ind w:firstLine="0" w:firstLineChars="0"/>
        <w:rPr>
          <w:rFonts w:hAnsi="宋体" w:cs="宋体"/>
        </w:rPr>
      </w:pPr>
      <w:r>
        <w:rPr>
          <w:rFonts w:hint="eastAsia" w:hAnsi="宋体" w:cs="宋体"/>
        </w:rPr>
        <w:t>指建筑工程项目用地红线范围内的场地。</w:t>
      </w:r>
    </w:p>
    <w:p w14:paraId="29BDBC8D">
      <w:pPr>
        <w:pStyle w:val="108"/>
        <w:numPr>
          <w:ilvl w:val="2"/>
          <w:numId w:val="2"/>
        </w:numPr>
        <w:spacing w:before="0" w:beforeLines="0" w:after="0" w:afterLines="0"/>
        <w:outlineLvl w:val="9"/>
        <w:rPr>
          <w:rFonts w:ascii="宋体" w:hAnsi="宋体" w:eastAsia="宋体" w:cs="宋体"/>
        </w:rPr>
      </w:pPr>
    </w:p>
    <w:p w14:paraId="79CDBFFB">
      <w:pPr>
        <w:pStyle w:val="60"/>
        <w:ind w:firstLine="420"/>
        <w:rPr>
          <w:rFonts w:hAnsi="宋体" w:cs="宋体"/>
        </w:rPr>
      </w:pPr>
      <w:r>
        <w:rPr>
          <w:rFonts w:hint="eastAsia" w:hAnsi="宋体" w:cs="宋体"/>
        </w:rPr>
        <w:t>基地出入口 entrance/exit of bases</w:t>
      </w:r>
    </w:p>
    <w:p w14:paraId="29766D27">
      <w:pPr>
        <w:pStyle w:val="60"/>
        <w:ind w:firstLine="0" w:firstLineChars="0"/>
        <w:rPr>
          <w:rFonts w:hAnsi="宋体" w:cs="宋体"/>
        </w:rPr>
      </w:pPr>
      <w:r>
        <w:rPr>
          <w:rFonts w:hint="eastAsia" w:hAnsi="宋体" w:cs="宋体"/>
        </w:rPr>
        <w:t>指各类建筑工程建设用地上内部道路与城市或镇道路的连接口。</w:t>
      </w:r>
    </w:p>
    <w:p w14:paraId="69DC514E">
      <w:pPr>
        <w:pStyle w:val="108"/>
        <w:numPr>
          <w:ilvl w:val="2"/>
          <w:numId w:val="2"/>
        </w:numPr>
        <w:spacing w:before="0" w:beforeLines="0" w:after="0" w:afterLines="0"/>
        <w:outlineLvl w:val="9"/>
        <w:rPr>
          <w:rFonts w:ascii="宋体" w:hAnsi="宋体" w:eastAsia="宋体" w:cs="宋体"/>
        </w:rPr>
      </w:pPr>
    </w:p>
    <w:p w14:paraId="7F3FD9BD">
      <w:pPr>
        <w:pStyle w:val="60"/>
        <w:ind w:firstLine="420"/>
        <w:rPr>
          <w:rFonts w:hAnsi="宋体" w:cs="宋体"/>
        </w:rPr>
      </w:pPr>
      <w:r>
        <w:rPr>
          <w:rFonts w:hint="eastAsia" w:hAnsi="宋体" w:cs="宋体"/>
        </w:rPr>
        <w:t>机动车停车场（库） parking lot（garage）for auto</w:t>
      </w:r>
    </w:p>
    <w:p w14:paraId="7C6F1875">
      <w:pPr>
        <w:pStyle w:val="60"/>
        <w:ind w:firstLine="0" w:firstLineChars="0"/>
        <w:rPr>
          <w:rFonts w:hAnsi="宋体" w:cs="宋体"/>
        </w:rPr>
      </w:pPr>
      <w:r>
        <w:rPr>
          <w:rFonts w:hint="eastAsia" w:hAnsi="宋体" w:cs="宋体"/>
        </w:rPr>
        <w:t>供机动车停放的停车场（库）。</w:t>
      </w:r>
    </w:p>
    <w:p w14:paraId="21BFD0E1">
      <w:pPr>
        <w:pStyle w:val="108"/>
        <w:numPr>
          <w:ilvl w:val="2"/>
          <w:numId w:val="2"/>
        </w:numPr>
        <w:spacing w:before="0" w:beforeLines="0" w:after="0" w:afterLines="0"/>
        <w:outlineLvl w:val="9"/>
        <w:rPr>
          <w:rFonts w:ascii="宋体" w:hAnsi="宋体" w:eastAsia="宋体" w:cs="宋体"/>
        </w:rPr>
      </w:pPr>
    </w:p>
    <w:p w14:paraId="6CDD9158">
      <w:pPr>
        <w:pStyle w:val="60"/>
        <w:ind w:firstLine="420"/>
        <w:rPr>
          <w:rFonts w:hAnsi="宋体" w:cs="宋体"/>
        </w:rPr>
      </w:pPr>
      <w:r>
        <w:rPr>
          <w:rFonts w:hint="eastAsia" w:hAnsi="宋体" w:cs="宋体"/>
        </w:rPr>
        <w:t>非机动车停车场（库） parking lot(garage) for non-motor vehicle</w:t>
      </w:r>
    </w:p>
    <w:p w14:paraId="1B591670">
      <w:pPr>
        <w:pStyle w:val="60"/>
        <w:ind w:firstLine="0" w:firstLineChars="0"/>
        <w:rPr>
          <w:rFonts w:hAnsi="宋体" w:cs="宋体"/>
        </w:rPr>
      </w:pPr>
      <w:r>
        <w:rPr>
          <w:rFonts w:hint="eastAsia" w:hAnsi="宋体" w:cs="宋体"/>
        </w:rPr>
        <w:t>供非机动车停放的的停车场（库）。</w:t>
      </w:r>
    </w:p>
    <w:p w14:paraId="4D5D64A1">
      <w:pPr>
        <w:pStyle w:val="108"/>
        <w:numPr>
          <w:ilvl w:val="2"/>
          <w:numId w:val="2"/>
        </w:numPr>
        <w:spacing w:before="0" w:beforeLines="0" w:after="0" w:afterLines="0"/>
        <w:outlineLvl w:val="9"/>
        <w:rPr>
          <w:rFonts w:ascii="宋体" w:hAnsi="宋体" w:eastAsia="宋体" w:cs="宋体"/>
        </w:rPr>
      </w:pPr>
    </w:p>
    <w:p w14:paraId="76CB05E9">
      <w:pPr>
        <w:ind w:firstLine="420" w:firstLineChars="200"/>
      </w:pPr>
      <w:r>
        <w:rPr>
          <w:rFonts w:hint="eastAsia"/>
        </w:rPr>
        <w:t>停车当量 equivalent parking unit</w:t>
      </w:r>
    </w:p>
    <w:p w14:paraId="2DFB42AC">
      <w:r>
        <w:rPr>
          <w:rFonts w:hint="eastAsia"/>
        </w:rPr>
        <w:t>用于协调各种不同车型，便于统计与计算停车数量、停车位大小等数据而设定的标准参考车型单元。</w:t>
      </w:r>
    </w:p>
    <w:p w14:paraId="4A475D74">
      <w:pPr>
        <w:pStyle w:val="108"/>
        <w:numPr>
          <w:ilvl w:val="2"/>
          <w:numId w:val="2"/>
        </w:numPr>
        <w:spacing w:before="0" w:beforeLines="0" w:after="0" w:afterLines="0"/>
        <w:outlineLvl w:val="9"/>
      </w:pPr>
    </w:p>
    <w:p w14:paraId="60B78B80">
      <w:pPr>
        <w:pStyle w:val="26"/>
        <w:autoSpaceDE w:val="0"/>
        <w:autoSpaceDN w:val="0"/>
        <w:spacing w:beforeAutospacing="0" w:afterAutospacing="0"/>
        <w:ind w:firstLine="420" w:firstLineChars="200"/>
        <w:rPr>
          <w:rFonts w:cs="宋体"/>
          <w:sz w:val="21"/>
        </w:rPr>
      </w:pPr>
      <w:bookmarkStart w:id="44" w:name="_Hlk169342411"/>
      <w:r>
        <w:rPr>
          <w:rFonts w:hint="eastAsia" w:cs="宋体"/>
          <w:sz w:val="21"/>
        </w:rPr>
        <w:t xml:space="preserve">停车位 </w:t>
      </w:r>
      <w:r>
        <w:rPr>
          <w:rFonts w:cs="宋体"/>
          <w:sz w:val="21"/>
        </w:rPr>
        <w:t>parking stall</w:t>
      </w:r>
    </w:p>
    <w:p w14:paraId="4FF853D5">
      <w:pPr>
        <w:pStyle w:val="26"/>
        <w:autoSpaceDE w:val="0"/>
        <w:autoSpaceDN w:val="0"/>
        <w:spacing w:beforeAutospacing="0" w:afterAutospacing="0"/>
        <w:rPr>
          <w:rFonts w:cs="宋体"/>
          <w:sz w:val="21"/>
        </w:rPr>
      </w:pPr>
      <w:r>
        <w:rPr>
          <w:rFonts w:cs="宋体"/>
          <w:sz w:val="21"/>
          <w:szCs w:val="21"/>
        </w:rPr>
        <w:t>车库中为停放车辆而划分的停车空间或机械式停车设备中停放车辆的独立单元，由车辆本身的尺寸加四周所需的距离组成</w:t>
      </w:r>
      <w:r>
        <w:rPr>
          <w:rFonts w:hint="eastAsia" w:cs="宋体"/>
          <w:sz w:val="21"/>
          <w:szCs w:val="21"/>
        </w:rPr>
        <w:t>。</w:t>
      </w:r>
    </w:p>
    <w:bookmarkEnd w:id="44"/>
    <w:p w14:paraId="0B71BBF4">
      <w:pPr>
        <w:pStyle w:val="108"/>
        <w:numPr>
          <w:ilvl w:val="2"/>
          <w:numId w:val="2"/>
        </w:numPr>
        <w:spacing w:before="0" w:beforeLines="0" w:after="0" w:afterLines="0"/>
        <w:outlineLvl w:val="9"/>
        <w:rPr>
          <w:rFonts w:ascii="宋体" w:hAnsi="宋体" w:eastAsia="宋体" w:cs="宋体"/>
        </w:rPr>
      </w:pPr>
    </w:p>
    <w:p w14:paraId="0C9226C7">
      <w:pPr>
        <w:pStyle w:val="108"/>
        <w:numPr>
          <w:ilvl w:val="0"/>
          <w:numId w:val="0"/>
        </w:numPr>
        <w:spacing w:before="0" w:beforeLines="0" w:after="0" w:afterLines="0"/>
        <w:ind w:firstLine="420" w:firstLineChars="200"/>
        <w:outlineLvl w:val="9"/>
        <w:rPr>
          <w:rFonts w:ascii="宋体" w:hAnsi="宋体" w:eastAsia="宋体" w:cs="宋体"/>
        </w:rPr>
      </w:pPr>
      <w:bookmarkStart w:id="45" w:name="_Hlk169342273"/>
      <w:r>
        <w:rPr>
          <w:rFonts w:hint="eastAsia" w:ascii="宋体" w:hAnsi="宋体" w:eastAsia="宋体" w:cs="宋体"/>
        </w:rPr>
        <w:t>基本停车位  basic parking stall</w:t>
      </w:r>
    </w:p>
    <w:p w14:paraId="548FF4C4">
      <w:pPr>
        <w:pStyle w:val="108"/>
        <w:numPr>
          <w:ilvl w:val="0"/>
          <w:numId w:val="0"/>
        </w:numPr>
        <w:spacing w:before="0" w:beforeLines="0" w:after="0" w:afterLines="0"/>
        <w:outlineLvl w:val="9"/>
        <w:rPr>
          <w:rFonts w:ascii="宋体" w:hAnsi="宋体" w:eastAsia="宋体" w:cs="宋体"/>
        </w:rPr>
      </w:pPr>
      <w:r>
        <w:rPr>
          <w:rFonts w:hint="eastAsia" w:ascii="宋体" w:hAnsi="宋体" w:eastAsia="宋体" w:cs="宋体"/>
        </w:rPr>
        <w:t>满足车辆拥有者在无出行时车辆长时间停放需求的相对固定停车位。</w:t>
      </w:r>
    </w:p>
    <w:p w14:paraId="07F89A50">
      <w:pPr>
        <w:pStyle w:val="108"/>
        <w:numPr>
          <w:ilvl w:val="2"/>
          <w:numId w:val="2"/>
        </w:numPr>
        <w:spacing w:before="0" w:beforeLines="0" w:after="0" w:afterLines="0"/>
        <w:outlineLvl w:val="9"/>
        <w:rPr>
          <w:rFonts w:ascii="宋体" w:hAnsi="宋体" w:eastAsia="宋体" w:cs="宋体"/>
        </w:rPr>
      </w:pPr>
    </w:p>
    <w:p w14:paraId="3E94D321">
      <w:pPr>
        <w:pStyle w:val="108"/>
        <w:numPr>
          <w:ilvl w:val="0"/>
          <w:numId w:val="0"/>
        </w:numPr>
        <w:spacing w:before="0" w:beforeLines="0" w:after="0" w:afterLines="0"/>
        <w:ind w:firstLine="420" w:firstLineChars="200"/>
        <w:outlineLvl w:val="9"/>
        <w:rPr>
          <w:rFonts w:ascii="宋体" w:hAnsi="宋体" w:eastAsia="宋体" w:cs="宋体"/>
        </w:rPr>
      </w:pPr>
      <w:r>
        <w:rPr>
          <w:rFonts w:hint="eastAsia" w:ascii="宋体" w:hAnsi="宋体" w:eastAsia="宋体" w:cs="宋体"/>
        </w:rPr>
        <w:t>出行车位 travel parking stall</w:t>
      </w:r>
    </w:p>
    <w:p w14:paraId="4F531622">
      <w:pPr>
        <w:pStyle w:val="108"/>
        <w:numPr>
          <w:ilvl w:val="0"/>
          <w:numId w:val="0"/>
        </w:numPr>
        <w:spacing w:before="0" w:beforeLines="0" w:after="0" w:afterLines="0"/>
        <w:outlineLvl w:val="9"/>
        <w:rPr>
          <w:rFonts w:ascii="宋体" w:hAnsi="宋体" w:eastAsia="宋体" w:cs="宋体"/>
        </w:rPr>
      </w:pPr>
      <w:r>
        <w:rPr>
          <w:rFonts w:hint="eastAsia" w:ascii="宋体" w:hAnsi="宋体" w:eastAsia="宋体" w:cs="宋体"/>
        </w:rPr>
        <w:t>满足车辆使用者在有出行时车辆临时停放需求的停车位。</w:t>
      </w:r>
    </w:p>
    <w:p w14:paraId="1BE825BB">
      <w:pPr>
        <w:pStyle w:val="108"/>
        <w:numPr>
          <w:ilvl w:val="2"/>
          <w:numId w:val="2"/>
        </w:numPr>
        <w:spacing w:before="0" w:beforeLines="0" w:after="0" w:afterLines="0"/>
        <w:outlineLvl w:val="9"/>
        <w:rPr>
          <w:rFonts w:ascii="宋体" w:hAnsi="宋体" w:eastAsia="宋体" w:cs="宋体"/>
        </w:rPr>
      </w:pPr>
    </w:p>
    <w:p w14:paraId="386C1339">
      <w:pPr>
        <w:pStyle w:val="108"/>
        <w:numPr>
          <w:ilvl w:val="0"/>
          <w:numId w:val="0"/>
        </w:numPr>
        <w:spacing w:before="0" w:beforeLines="0" w:after="0" w:afterLines="0"/>
        <w:ind w:firstLine="420" w:firstLineChars="200"/>
        <w:outlineLvl w:val="9"/>
        <w:rPr>
          <w:rFonts w:ascii="宋体" w:hAnsi="宋体" w:eastAsia="宋体" w:cs="宋体"/>
        </w:rPr>
      </w:pPr>
      <w:r>
        <w:rPr>
          <w:rFonts w:hint="eastAsia" w:ascii="宋体" w:hAnsi="宋体" w:eastAsia="宋体" w:cs="宋体"/>
        </w:rPr>
        <w:t>路内停车位 on-street parking stall</w:t>
      </w:r>
    </w:p>
    <w:p w14:paraId="4CE23515">
      <w:pPr>
        <w:pStyle w:val="108"/>
        <w:numPr>
          <w:ilvl w:val="0"/>
          <w:numId w:val="0"/>
        </w:numPr>
        <w:spacing w:before="0" w:beforeLines="0" w:after="0" w:afterLines="0"/>
        <w:outlineLvl w:val="9"/>
        <w:rPr>
          <w:rFonts w:ascii="宋体" w:hAnsi="宋体" w:eastAsia="宋体" w:cs="宋体"/>
        </w:rPr>
      </w:pPr>
      <w:r>
        <w:rPr>
          <w:rFonts w:hint="eastAsia" w:ascii="宋体" w:hAnsi="宋体" w:eastAsia="宋体" w:cs="宋体"/>
        </w:rPr>
        <w:t>在城市道路路内用交通标志、标线设置的供机动车停放的区域。</w:t>
      </w:r>
    </w:p>
    <w:bookmarkEnd w:id="45"/>
    <w:p w14:paraId="7D3D67E9">
      <w:pPr>
        <w:pStyle w:val="108"/>
        <w:numPr>
          <w:ilvl w:val="2"/>
          <w:numId w:val="2"/>
        </w:numPr>
        <w:spacing w:before="0" w:beforeLines="0" w:after="0" w:afterLines="0"/>
        <w:outlineLvl w:val="9"/>
        <w:rPr>
          <w:rFonts w:ascii="宋体" w:hAnsi="宋体" w:eastAsia="宋体" w:cs="宋体"/>
        </w:rPr>
      </w:pPr>
    </w:p>
    <w:p w14:paraId="07FCF4CB">
      <w:pPr>
        <w:pStyle w:val="60"/>
        <w:ind w:firstLine="420"/>
        <w:rPr>
          <w:rFonts w:hAnsi="宋体" w:cs="宋体"/>
        </w:rPr>
      </w:pPr>
      <w:r>
        <w:rPr>
          <w:rFonts w:hint="eastAsia" w:cs="宋体"/>
        </w:rPr>
        <w:t>无障碍机动车停车位</w:t>
      </w:r>
      <w:r>
        <w:rPr>
          <w:rFonts w:hAnsi="宋体" w:cs="宋体"/>
        </w:rPr>
        <w:t xml:space="preserve">  </w:t>
      </w:r>
      <w:r>
        <w:rPr>
          <w:rFonts w:hint="eastAsia" w:cs="宋体"/>
        </w:rPr>
        <w:t>accessible vehicle parkinglot</w:t>
      </w:r>
    </w:p>
    <w:p w14:paraId="5C99886D">
      <w:pPr>
        <w:pStyle w:val="60"/>
        <w:ind w:firstLine="0" w:firstLineChars="0"/>
        <w:rPr>
          <w:rFonts w:hAnsi="宋体" w:cs="宋体"/>
        </w:rPr>
      </w:pPr>
      <w:r>
        <w:rPr>
          <w:rFonts w:hint="eastAsia" w:cs="宋体"/>
        </w:rPr>
        <w:t>方便行动障碍者使用的机动车停车位</w:t>
      </w:r>
      <w:r>
        <w:rPr>
          <w:rFonts w:hAnsi="宋体" w:cs="宋体"/>
        </w:rPr>
        <w:t>。</w:t>
      </w:r>
    </w:p>
    <w:p w14:paraId="3C421052">
      <w:pPr>
        <w:pStyle w:val="108"/>
        <w:numPr>
          <w:ilvl w:val="2"/>
          <w:numId w:val="2"/>
        </w:numPr>
        <w:spacing w:before="0" w:beforeLines="0" w:after="0" w:afterLines="0"/>
        <w:outlineLvl w:val="9"/>
        <w:rPr>
          <w:rFonts w:ascii="宋体" w:hAnsi="宋体" w:eastAsia="宋体" w:cs="宋体"/>
        </w:rPr>
      </w:pPr>
    </w:p>
    <w:p w14:paraId="2545A5F7">
      <w:pPr>
        <w:pStyle w:val="60"/>
        <w:ind w:firstLine="420"/>
        <w:rPr>
          <w:rFonts w:hAnsi="宋体" w:cs="宋体"/>
        </w:rPr>
      </w:pPr>
      <w:r>
        <w:rPr>
          <w:rFonts w:hAnsi="宋体" w:cs="宋体"/>
        </w:rPr>
        <w:t>停车区域  parking area</w:t>
      </w:r>
    </w:p>
    <w:p w14:paraId="38F01A9F">
      <w:pPr>
        <w:pStyle w:val="60"/>
        <w:ind w:firstLine="0" w:firstLineChars="0"/>
        <w:rPr>
          <w:rFonts w:hAnsi="宋体" w:cs="宋体"/>
        </w:rPr>
      </w:pPr>
      <w:r>
        <w:rPr>
          <w:rFonts w:hAnsi="宋体" w:cs="宋体"/>
        </w:rPr>
        <w:t>车库中车辆行驶与停放的空间，主要由</w:t>
      </w:r>
      <w:r>
        <w:rPr>
          <w:rFonts w:hint="eastAsia" w:hAnsi="宋体" w:cs="宋体"/>
        </w:rPr>
        <w:t>停车位</w:t>
      </w:r>
      <w:r>
        <w:rPr>
          <w:rFonts w:hAnsi="宋体" w:cs="宋体"/>
        </w:rPr>
        <w:t>与通车道组成。</w:t>
      </w:r>
    </w:p>
    <w:p w14:paraId="202B1D91">
      <w:pPr>
        <w:pStyle w:val="108"/>
        <w:numPr>
          <w:ilvl w:val="2"/>
          <w:numId w:val="2"/>
        </w:numPr>
        <w:spacing w:before="0" w:beforeLines="0" w:after="0" w:afterLines="0"/>
        <w:outlineLvl w:val="9"/>
        <w:rPr>
          <w:rFonts w:ascii="宋体" w:hAnsi="宋体" w:eastAsia="宋体" w:cs="宋体"/>
        </w:rPr>
      </w:pPr>
    </w:p>
    <w:p w14:paraId="274FDD39">
      <w:pPr>
        <w:pStyle w:val="60"/>
        <w:ind w:firstLine="420"/>
        <w:rPr>
          <w:rFonts w:hAnsi="宋体" w:cs="宋体"/>
        </w:rPr>
      </w:pPr>
      <w:r>
        <w:rPr>
          <w:rFonts w:hAnsi="宋体" w:cs="宋体"/>
        </w:rPr>
        <w:t>坡道式出入口  entrance/exit of ramp</w:t>
      </w:r>
    </w:p>
    <w:p w14:paraId="46F61BC1">
      <w:pPr>
        <w:pStyle w:val="60"/>
        <w:ind w:firstLine="0" w:firstLineChars="0"/>
        <w:rPr>
          <w:rFonts w:hAnsi="宋体" w:cs="宋体"/>
        </w:rPr>
      </w:pPr>
      <w:r>
        <w:rPr>
          <w:rFonts w:hAnsi="宋体" w:cs="宋体"/>
        </w:rPr>
        <w:t>机动车库中通过坡道进行室内外车辆交通联系的部位。</w:t>
      </w:r>
    </w:p>
    <w:p w14:paraId="72239778">
      <w:pPr>
        <w:pStyle w:val="108"/>
        <w:numPr>
          <w:ilvl w:val="2"/>
          <w:numId w:val="2"/>
        </w:numPr>
        <w:spacing w:before="0" w:beforeLines="0" w:after="0" w:afterLines="0"/>
        <w:outlineLvl w:val="9"/>
        <w:rPr>
          <w:rFonts w:ascii="宋体" w:hAnsi="宋体" w:eastAsia="宋体" w:cs="宋体"/>
        </w:rPr>
      </w:pPr>
    </w:p>
    <w:p w14:paraId="7ED221EF">
      <w:pPr>
        <w:pStyle w:val="60"/>
        <w:ind w:firstLine="420"/>
        <w:rPr>
          <w:rFonts w:hAnsi="宋体" w:cs="宋体"/>
        </w:rPr>
      </w:pPr>
      <w:r>
        <w:rPr>
          <w:rFonts w:hAnsi="宋体" w:cs="宋体"/>
        </w:rPr>
        <w:t>平入式出入口  entrance/exit of straight-in</w:t>
      </w:r>
    </w:p>
    <w:p w14:paraId="214B44BA">
      <w:pPr>
        <w:pStyle w:val="60"/>
        <w:ind w:firstLine="0" w:firstLineChars="0"/>
        <w:rPr>
          <w:rFonts w:hAnsi="宋体" w:cs="宋体"/>
        </w:rPr>
      </w:pPr>
      <w:r>
        <w:rPr>
          <w:rFonts w:hAnsi="宋体" w:cs="宋体"/>
        </w:rPr>
        <w:t>机动车库中由室外场地直接出入停车区域的部位。</w:t>
      </w:r>
    </w:p>
    <w:p w14:paraId="79B9A52B">
      <w:pPr>
        <w:pStyle w:val="108"/>
        <w:numPr>
          <w:ilvl w:val="2"/>
          <w:numId w:val="2"/>
        </w:numPr>
        <w:spacing w:before="0" w:beforeLines="0" w:after="0" w:afterLines="0"/>
        <w:outlineLvl w:val="9"/>
        <w:rPr>
          <w:rFonts w:ascii="宋体" w:hAnsi="宋体" w:eastAsia="宋体" w:cs="宋体"/>
        </w:rPr>
      </w:pPr>
    </w:p>
    <w:p w14:paraId="237F69CA">
      <w:pPr>
        <w:autoSpaceDE w:val="0"/>
        <w:autoSpaceDN w:val="0"/>
        <w:spacing w:line="240" w:lineRule="auto"/>
        <w:ind w:firstLine="420" w:firstLineChars="200"/>
        <w:jc w:val="left"/>
        <w:rPr>
          <w:rFonts w:ascii="宋体" w:hAnsi="宋体" w:cs="宋体"/>
        </w:rPr>
      </w:pPr>
      <w:r>
        <w:rPr>
          <w:rFonts w:hint="eastAsia" w:ascii="宋体" w:hAnsi="宋体" w:cs="宋体"/>
        </w:rPr>
        <w:t xml:space="preserve">电动汽车 electric </w:t>
      </w:r>
      <w:r>
        <w:rPr>
          <w:rFonts w:hint="eastAsia" w:ascii="宋体" w:hAnsi="宋体" w:cs="宋体"/>
          <w:kern w:val="0"/>
        </w:rPr>
        <w:t>vehicle</w:t>
      </w:r>
    </w:p>
    <w:p w14:paraId="1B2E4EEA">
      <w:pPr>
        <w:pStyle w:val="60"/>
        <w:ind w:firstLine="0" w:firstLineChars="0"/>
        <w:rPr>
          <w:rFonts w:hAnsi="宋体" w:cs="宋体"/>
        </w:rPr>
      </w:pPr>
      <w:r>
        <w:rPr>
          <w:rFonts w:hint="eastAsia" w:hAnsi="宋体" w:cs="宋体"/>
        </w:rPr>
        <w:t>用于在道路上使用，由电动机驱动的汽车，电动机的动力电源源于可充电电池或其他易携带能量存储的设备。</w:t>
      </w:r>
    </w:p>
    <w:p w14:paraId="52AC4FD6">
      <w:pPr>
        <w:pStyle w:val="108"/>
        <w:numPr>
          <w:ilvl w:val="2"/>
          <w:numId w:val="2"/>
        </w:numPr>
        <w:spacing w:before="0" w:beforeLines="0" w:after="0" w:afterLines="0"/>
        <w:outlineLvl w:val="9"/>
        <w:rPr>
          <w:rFonts w:ascii="宋体" w:hAnsi="宋体" w:eastAsia="宋体" w:cs="宋体"/>
        </w:rPr>
      </w:pPr>
    </w:p>
    <w:p w14:paraId="1FA09D41">
      <w:pPr>
        <w:pStyle w:val="60"/>
        <w:ind w:firstLine="420"/>
        <w:rPr>
          <w:rFonts w:hAnsi="宋体" w:cs="宋体"/>
        </w:rPr>
      </w:pPr>
      <w:r>
        <w:rPr>
          <w:rFonts w:hint="eastAsia" w:hAnsi="宋体" w:cs="宋体"/>
        </w:rPr>
        <w:t>电动自行车 electric bicycle</w:t>
      </w:r>
    </w:p>
    <w:p w14:paraId="0C42980D">
      <w:pPr>
        <w:pStyle w:val="60"/>
        <w:ind w:firstLine="0" w:firstLineChars="0"/>
        <w:rPr>
          <w:rFonts w:hAnsi="宋体" w:cs="宋体"/>
        </w:rPr>
      </w:pPr>
      <w:r>
        <w:rPr>
          <w:rFonts w:hint="eastAsia" w:hAnsi="宋体" w:cs="宋体"/>
        </w:rPr>
        <w:t>以车载蓄电池为辅助能源，具有脚踏骑行能力，能实现电助动或电</w:t>
      </w:r>
      <w:r>
        <w:rPr>
          <w:rFonts w:hAnsi="宋体" w:cs="宋体"/>
        </w:rPr>
        <w:t>驱</w:t>
      </w:r>
      <w:r>
        <w:rPr>
          <w:rFonts w:hint="eastAsia" w:hAnsi="宋体" w:cs="宋体"/>
        </w:rPr>
        <w:t>动功能的两轮自行车</w:t>
      </w:r>
      <w:r>
        <w:rPr>
          <w:rFonts w:hAnsi="宋体" w:cs="宋体"/>
        </w:rPr>
        <w:t>。</w:t>
      </w:r>
    </w:p>
    <w:p w14:paraId="6F1FFB60">
      <w:pPr>
        <w:pStyle w:val="108"/>
        <w:numPr>
          <w:ilvl w:val="2"/>
          <w:numId w:val="2"/>
        </w:numPr>
        <w:spacing w:before="0" w:beforeLines="0" w:after="0" w:afterLines="0"/>
        <w:outlineLvl w:val="9"/>
        <w:rPr>
          <w:rFonts w:ascii="宋体" w:hAnsi="宋体" w:eastAsia="宋体" w:cs="宋体"/>
        </w:rPr>
      </w:pPr>
    </w:p>
    <w:p w14:paraId="073812DC">
      <w:pPr>
        <w:pStyle w:val="26"/>
        <w:autoSpaceDE w:val="0"/>
        <w:autoSpaceDN w:val="0"/>
        <w:spacing w:beforeAutospacing="0" w:afterAutospacing="0"/>
        <w:ind w:firstLine="420" w:firstLineChars="200"/>
        <w:rPr>
          <w:rFonts w:cs="宋体"/>
          <w:sz w:val="21"/>
        </w:rPr>
      </w:pPr>
      <w:r>
        <w:rPr>
          <w:rFonts w:hint="eastAsia" w:cs="宋体"/>
          <w:sz w:val="21"/>
        </w:rPr>
        <w:t>分散充电设备 dispersal charging infrastructue</w:t>
      </w:r>
    </w:p>
    <w:p w14:paraId="6C284358">
      <w:pPr>
        <w:pStyle w:val="26"/>
        <w:autoSpaceDE w:val="0"/>
        <w:autoSpaceDN w:val="0"/>
        <w:spacing w:beforeAutospacing="0" w:afterAutospacing="0"/>
        <w:rPr>
          <w:rFonts w:cs="宋体"/>
        </w:rPr>
      </w:pPr>
      <w:r>
        <w:rPr>
          <w:rFonts w:hint="eastAsia" w:cs="宋体"/>
          <w:sz w:val="21"/>
        </w:rPr>
        <w:t>结合用户居住地停车位、单位停车场、公共建筑物停车场、社会公共停车场、路内临时停车位等配建的为电动汽车提供电能的设施，包括充电设备、供电系统、配套设施等。</w:t>
      </w:r>
    </w:p>
    <w:p w14:paraId="4D9B2A46">
      <w:pPr>
        <w:pStyle w:val="108"/>
        <w:numPr>
          <w:ilvl w:val="2"/>
          <w:numId w:val="2"/>
        </w:numPr>
        <w:spacing w:before="0" w:beforeLines="0" w:after="0" w:afterLines="0"/>
        <w:outlineLvl w:val="9"/>
        <w:rPr>
          <w:rFonts w:ascii="宋体" w:hAnsi="宋体" w:eastAsia="宋体" w:cs="宋体"/>
        </w:rPr>
      </w:pPr>
    </w:p>
    <w:p w14:paraId="23144618">
      <w:pPr>
        <w:pStyle w:val="26"/>
        <w:autoSpaceDE w:val="0"/>
        <w:autoSpaceDN w:val="0"/>
        <w:spacing w:beforeAutospacing="0" w:afterAutospacing="0"/>
        <w:ind w:firstLine="420" w:firstLineChars="200"/>
        <w:rPr>
          <w:rFonts w:cs="宋体"/>
          <w:sz w:val="21"/>
        </w:rPr>
      </w:pPr>
      <w:r>
        <w:rPr>
          <w:rFonts w:hint="eastAsia" w:cs="宋体"/>
          <w:sz w:val="21"/>
        </w:rPr>
        <w:t>电动自行车充电设备 electric bicycle charging facility</w:t>
      </w:r>
    </w:p>
    <w:p w14:paraId="50583D50">
      <w:pPr>
        <w:pStyle w:val="26"/>
        <w:autoSpaceDE w:val="0"/>
        <w:autoSpaceDN w:val="0"/>
        <w:spacing w:beforeAutospacing="0" w:afterAutospacing="0"/>
        <w:rPr>
          <w:rFonts w:cs="宋体"/>
          <w:sz w:val="21"/>
        </w:rPr>
      </w:pPr>
      <w:r>
        <w:rPr>
          <w:rFonts w:hint="eastAsia" w:cs="宋体"/>
          <w:sz w:val="21"/>
        </w:rPr>
        <w:t>与电动自行车动力蓄电池相连接，并为其提供电能的设备，一般包含充电桩，充电插座及其配套的配电箱、线缆等。</w:t>
      </w:r>
    </w:p>
    <w:p w14:paraId="76D960E2">
      <w:pPr>
        <w:pStyle w:val="108"/>
        <w:spacing w:before="312" w:after="312"/>
      </w:pPr>
      <w:r>
        <w:rPr>
          <w:rFonts w:hint="eastAsia"/>
        </w:rPr>
        <w:t>基本规定</w:t>
      </w:r>
    </w:p>
    <w:p w14:paraId="04B294B0">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kern w:val="2"/>
          <w:szCs w:val="21"/>
          <w:lang w:bidi="ar"/>
        </w:rPr>
        <w:t>规划应综合考虑人口分布、土地开发强度、道路交通承载能力、公共交通服务水平、建设条件等因素，采取差异化停车供应及管理政策。</w:t>
      </w:r>
    </w:p>
    <w:p w14:paraId="340B5B11">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kern w:val="2"/>
          <w:szCs w:val="21"/>
          <w:lang w:bidi="ar"/>
        </w:rPr>
        <w:t xml:space="preserve">应与道路交通、用地、建筑物配建停车场的规划建设有机衔接，促进城市现代化综合交通体系的建立，满足安全、便捷、通畅、高效的交通服务要求。 </w:t>
      </w:r>
    </w:p>
    <w:p w14:paraId="24519536">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城市公共停车场</w:t>
      </w:r>
      <w:r>
        <w:rPr>
          <w:rFonts w:hint="eastAsia" w:ascii="宋体" w:hAnsi="宋体" w:eastAsia="宋体" w:cs="宋体"/>
          <w:kern w:val="2"/>
          <w:szCs w:val="21"/>
          <w:highlight w:val="none"/>
          <w:lang w:bidi="ar"/>
        </w:rPr>
        <w:t>（库）建</w:t>
      </w:r>
      <w:r>
        <w:rPr>
          <w:rFonts w:hint="eastAsia" w:ascii="宋体" w:hAnsi="宋体" w:eastAsia="宋体" w:cs="宋体"/>
          <w:kern w:val="2"/>
          <w:szCs w:val="21"/>
          <w:lang w:bidi="ar"/>
        </w:rPr>
        <w:t xml:space="preserve">设应在国土空间总体规划、详细规划、专项规划等相关规划的指导下，与城市发展政策相协调，合理统筹规划，实时建设，有序发展。 </w:t>
      </w:r>
    </w:p>
    <w:p w14:paraId="784713B0">
      <w:pPr>
        <w:pStyle w:val="109"/>
        <w:numPr>
          <w:ilvl w:val="2"/>
          <w:numId w:val="32"/>
        </w:numPr>
        <w:spacing w:before="156" w:after="156"/>
        <w:outlineLvl w:val="9"/>
        <w:rPr>
          <w:rFonts w:ascii="宋体" w:hAnsi="宋体" w:eastAsia="宋体" w:cs="宋体"/>
          <w:kern w:val="2"/>
          <w:szCs w:val="21"/>
          <w:highlight w:val="none"/>
          <w:lang w:bidi="ar"/>
        </w:rPr>
      </w:pPr>
      <w:r>
        <w:rPr>
          <w:rFonts w:hint="eastAsia" w:ascii="宋体" w:hAnsi="宋体" w:eastAsia="宋体" w:cs="宋体"/>
          <w:kern w:val="2"/>
          <w:szCs w:val="21"/>
          <w:lang w:bidi="ar"/>
        </w:rPr>
        <w:t>城市公共停车场规划布局应遵循因地制宜、规模适宜、布局合理、组织顺畅、远近结合等原则，确定公共停车场的分</w:t>
      </w:r>
      <w:r>
        <w:rPr>
          <w:rFonts w:hint="eastAsia" w:ascii="宋体" w:hAnsi="宋体" w:eastAsia="宋体" w:cs="宋体"/>
          <w:kern w:val="2"/>
          <w:szCs w:val="21"/>
          <w:highlight w:val="none"/>
          <w:lang w:bidi="ar"/>
        </w:rPr>
        <w:t>布，调节停车供应与布局结构。</w:t>
      </w:r>
    </w:p>
    <w:p w14:paraId="4DFC7E94">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highlight w:val="none"/>
          <w:lang w:bidi="ar"/>
        </w:rPr>
        <w:t>城市公共停车场（库）应</w:t>
      </w:r>
      <w:r>
        <w:rPr>
          <w:rFonts w:hint="eastAsia" w:ascii="宋体" w:hAnsi="宋体" w:eastAsia="宋体" w:cs="宋体"/>
          <w:kern w:val="2"/>
          <w:szCs w:val="21"/>
          <w:lang w:bidi="ar"/>
        </w:rPr>
        <w:t>统筹地上、地下空间利用，可在城市道路、公共广场、学校操场、公园绿地以及公交场站等公共设施结合建设公共停车设施，鼓励采用地下、地上多层停车楼、机械式停车库等集约化建设方式，促进城市建设用地多功能立体开发和复合利用。</w:t>
      </w:r>
    </w:p>
    <w:p w14:paraId="6F57730F">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 xml:space="preserve">综合开发利用地下空间并结合人防工程进行建设城市公共停车设施的，应符合现行人防建设标准的规定。 </w:t>
      </w:r>
    </w:p>
    <w:p w14:paraId="11107250">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kern w:val="2"/>
          <w:szCs w:val="21"/>
          <w:lang w:bidi="ar"/>
        </w:rPr>
        <w:t>规划选址应综合考虑环境保护、防灾减灾和应急避难等因素，并避开断层及可能产生滑坡等地址灾害的不良地质地区。</w:t>
      </w:r>
    </w:p>
    <w:p w14:paraId="39D52802">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w:t>
      </w:r>
      <w:r>
        <w:rPr>
          <w:rFonts w:hint="eastAsia" w:ascii="宋体" w:hAnsi="宋体" w:eastAsia="宋体" w:cs="宋体"/>
          <w:kern w:val="2"/>
          <w:szCs w:val="21"/>
          <w:highlight w:val="none"/>
          <w:lang w:bidi="ar"/>
        </w:rPr>
        <w:t>场（库）安全</w:t>
      </w:r>
      <w:r>
        <w:rPr>
          <w:rFonts w:hint="eastAsia" w:ascii="宋体" w:hAnsi="宋体" w:eastAsia="宋体" w:cs="宋体"/>
          <w:kern w:val="2"/>
          <w:szCs w:val="21"/>
          <w:lang w:bidi="ar"/>
        </w:rPr>
        <w:t>防护与环境保护设施应与主体工程同时设计、同时施工、同时投产使用。城市公共停车场建设应考虑对周边建筑的安全、消防、噪声、震动、通风、日照和景观影响，噪声超标的机械设备应采取减震、降噪措施，在人口、建筑稠密的地区应采取防止产生光污染的相关措施。</w:t>
      </w:r>
    </w:p>
    <w:p w14:paraId="51943914">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城市公共停车场</w:t>
      </w:r>
      <w:r>
        <w:rPr>
          <w:rFonts w:hint="eastAsia" w:ascii="宋体" w:hAnsi="宋体" w:eastAsia="宋体" w:cs="宋体"/>
          <w:kern w:val="2"/>
          <w:szCs w:val="21"/>
          <w:highlight w:val="none"/>
          <w:lang w:bidi="ar"/>
        </w:rPr>
        <w:t>（库）由</w:t>
      </w:r>
      <w:r>
        <w:rPr>
          <w:rFonts w:hint="eastAsia" w:ascii="宋体" w:hAnsi="宋体" w:eastAsia="宋体" w:cs="宋体"/>
          <w:kern w:val="2"/>
          <w:szCs w:val="21"/>
          <w:lang w:bidi="ar"/>
        </w:rPr>
        <w:t>不同类型停车场构成组合式停车场时，停车场通道和出入口设置中应协调考虑，避免不同类型停车场车辆出入产生冲突，保证车辆出入顺畅，同时兼顾人员安全、迅速疏散的要求。</w:t>
      </w:r>
    </w:p>
    <w:p w14:paraId="0AB418DF">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采用地面停车形式的</w:t>
      </w:r>
      <w:r>
        <w:rPr>
          <w:rFonts w:hint="eastAsia" w:ascii="宋体" w:hAnsi="宋体" w:eastAsia="宋体" w:cs="宋体"/>
          <w:kern w:val="2"/>
          <w:szCs w:val="21"/>
          <w:lang w:val="en-US" w:eastAsia="zh-CN" w:bidi="ar"/>
        </w:rPr>
        <w:t>公共</w:t>
      </w:r>
      <w:r>
        <w:rPr>
          <w:rFonts w:hint="eastAsia" w:ascii="宋体" w:hAnsi="宋体" w:eastAsia="宋体" w:cs="宋体"/>
          <w:kern w:val="2"/>
          <w:szCs w:val="21"/>
          <w:lang w:bidi="ar"/>
        </w:rPr>
        <w:t>停车场应采用乔木、绿植作为与周边其他性质用地的隔离，在满足停车要求的条件下种植高大乔木、形成树阵，创造绿荫停车环境。城市公共停车场绿化面积按厦门市相关现行规定执行。</w:t>
      </w:r>
    </w:p>
    <w:p w14:paraId="4D404A34">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w:t>
      </w:r>
      <w:r>
        <w:rPr>
          <w:rFonts w:hint="eastAsia" w:ascii="宋体" w:hAnsi="宋体" w:eastAsia="宋体" w:cs="宋体"/>
          <w:kern w:val="2"/>
          <w:szCs w:val="21"/>
          <w:highlight w:val="none"/>
          <w:lang w:bidi="ar"/>
        </w:rPr>
        <w:t>场（库）</w:t>
      </w:r>
      <w:r>
        <w:rPr>
          <w:rFonts w:hint="eastAsia" w:ascii="宋体" w:hAnsi="宋体" w:eastAsia="宋体" w:cs="宋体"/>
          <w:kern w:val="2"/>
          <w:szCs w:val="21"/>
          <w:lang w:bidi="ar"/>
        </w:rPr>
        <w:t>建设应同步配建停车场实时动态信息管理系统，统一数据接口、交换机制等信息标准，实现城市公共停车信息系统联网管理，实时提供停车场分布位置、泊位数量、使用状况和收费标准等信息，实现城市停车资源的最大化利用。</w:t>
      </w:r>
    </w:p>
    <w:p w14:paraId="6663138A">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w:t>
      </w:r>
      <w:r>
        <w:rPr>
          <w:rFonts w:hint="eastAsia" w:ascii="宋体" w:hAnsi="宋体" w:eastAsia="宋体" w:cs="宋体"/>
          <w:kern w:val="2"/>
          <w:szCs w:val="21"/>
          <w:highlight w:val="none"/>
          <w:lang w:bidi="ar"/>
        </w:rPr>
        <w:t>场（库）的</w:t>
      </w:r>
      <w:r>
        <w:rPr>
          <w:rFonts w:hint="eastAsia" w:ascii="宋体" w:hAnsi="宋体" w:eastAsia="宋体" w:cs="宋体"/>
          <w:kern w:val="2"/>
          <w:szCs w:val="21"/>
          <w:lang w:bidi="ar"/>
        </w:rPr>
        <w:t>交通影响评价应按照现行建设项目交通影响评价相关管理规定和技术标准实施。</w:t>
      </w:r>
    </w:p>
    <w:p w14:paraId="1F0922FF">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建设项目停车设施配建标准应按厦门市现行相关规定执行。</w:t>
      </w:r>
    </w:p>
    <w:p w14:paraId="06C08B74">
      <w:pPr>
        <w:pStyle w:val="109"/>
        <w:numPr>
          <w:ilvl w:val="2"/>
          <w:numId w:val="32"/>
        </w:numPr>
        <w:spacing w:before="156" w:after="156"/>
        <w:outlineLvl w:val="9"/>
        <w:rPr>
          <w:rFonts w:ascii="宋体" w:hAnsi="宋体" w:eastAsia="宋体" w:cs="宋体"/>
          <w:kern w:val="2"/>
          <w:szCs w:val="21"/>
          <w:lang w:bidi="ar"/>
        </w:rPr>
      </w:pPr>
      <w:r>
        <w:rPr>
          <w:rFonts w:hint="eastAsia" w:ascii="宋体" w:hAnsi="宋体" w:eastAsia="宋体" w:cs="宋体"/>
          <w:kern w:val="2"/>
          <w:szCs w:val="21"/>
          <w:lang w:bidi="ar"/>
        </w:rPr>
        <w:t>城市公共停车</w:t>
      </w:r>
      <w:r>
        <w:rPr>
          <w:rFonts w:hint="eastAsia" w:ascii="宋体" w:hAnsi="宋体" w:eastAsia="宋体" w:cs="宋体"/>
          <w:kern w:val="2"/>
          <w:szCs w:val="21"/>
          <w:highlight w:val="none"/>
          <w:lang w:bidi="ar"/>
        </w:rPr>
        <w:t>场（库）建设</w:t>
      </w:r>
      <w:r>
        <w:rPr>
          <w:rFonts w:hint="eastAsia" w:ascii="宋体" w:hAnsi="宋体" w:eastAsia="宋体" w:cs="宋体"/>
          <w:kern w:val="2"/>
          <w:szCs w:val="21"/>
          <w:lang w:bidi="ar"/>
        </w:rPr>
        <w:t>除应执行本建设规范外，尚应符合国家现行有关标准的规定。</w:t>
      </w:r>
    </w:p>
    <w:p w14:paraId="5B9F44A8">
      <w:pPr>
        <w:pStyle w:val="108"/>
        <w:spacing w:before="312" w:after="312"/>
        <w:rPr>
          <w:rFonts w:ascii="宋体" w:hAnsi="宋体" w:eastAsia="宋体" w:cs="宋体"/>
          <w:kern w:val="2"/>
          <w:szCs w:val="21"/>
          <w:lang w:bidi="ar"/>
        </w:rPr>
      </w:pPr>
      <w:r>
        <w:rPr>
          <w:rFonts w:hint="eastAsia"/>
        </w:rPr>
        <w:t>建设规模与构成</w:t>
      </w:r>
    </w:p>
    <w:p w14:paraId="295E63DE">
      <w:pPr>
        <w:pStyle w:val="108"/>
        <w:numPr>
          <w:ilvl w:val="2"/>
          <w:numId w:val="32"/>
        </w:numPr>
        <w:spacing w:before="0" w:beforeLines="0" w:after="0" w:afterLines="0"/>
        <w:outlineLvl w:val="1"/>
      </w:pPr>
      <w:r>
        <w:rPr>
          <w:rFonts w:hint="eastAsia" w:hAnsi="黑体" w:cs="黑体"/>
          <w:szCs w:val="21"/>
          <w:lang w:bidi="ar"/>
        </w:rPr>
        <w:t>停车场</w:t>
      </w:r>
      <w:r>
        <w:rPr>
          <w:rFonts w:hint="eastAsia" w:hAnsi="黑体" w:cs="黑体"/>
          <w:szCs w:val="21"/>
          <w:highlight w:val="none"/>
          <w:lang w:eastAsia="zh-CN" w:bidi="ar"/>
        </w:rPr>
        <w:t>（</w:t>
      </w:r>
      <w:r>
        <w:rPr>
          <w:rFonts w:hint="eastAsia" w:hAnsi="黑体" w:cs="黑体"/>
          <w:szCs w:val="21"/>
          <w:highlight w:val="none"/>
          <w:lang w:val="en-US" w:eastAsia="zh-CN" w:bidi="ar"/>
        </w:rPr>
        <w:t>库</w:t>
      </w:r>
      <w:r>
        <w:rPr>
          <w:rFonts w:hint="eastAsia" w:hAnsi="黑体" w:cs="黑体"/>
          <w:szCs w:val="21"/>
          <w:highlight w:val="none"/>
          <w:lang w:eastAsia="zh-CN" w:bidi="ar"/>
        </w:rPr>
        <w:t>）</w:t>
      </w:r>
      <w:r>
        <w:rPr>
          <w:rFonts w:hint="eastAsia" w:hAnsi="黑体" w:cs="黑体"/>
          <w:szCs w:val="21"/>
          <w:lang w:bidi="ar"/>
        </w:rPr>
        <w:t>建设规模</w:t>
      </w:r>
    </w:p>
    <w:p w14:paraId="25BBF66A">
      <w:pPr>
        <w:pStyle w:val="108"/>
        <w:numPr>
          <w:ilvl w:val="3"/>
          <w:numId w:val="32"/>
        </w:numPr>
        <w:spacing w:before="0" w:beforeLines="0" w:after="0" w:afterLines="0"/>
        <w:outlineLvl w:val="9"/>
        <w:rPr>
          <w:rFonts w:ascii="宋体" w:hAnsi="宋体" w:eastAsia="宋体" w:cs="宋体"/>
          <w:kern w:val="2"/>
          <w:szCs w:val="21"/>
          <w:lang w:bidi="ar"/>
        </w:rPr>
      </w:pPr>
      <w:r>
        <w:rPr>
          <w:rFonts w:hint="eastAsia" w:ascii="宋体" w:hAnsi="宋体" w:eastAsia="宋体" w:cs="宋体"/>
          <w:szCs w:val="21"/>
          <w:lang w:bidi="ar"/>
        </w:rPr>
        <w:t>城市公共停车</w:t>
      </w:r>
      <w:r>
        <w:rPr>
          <w:rFonts w:hint="eastAsia" w:ascii="宋体" w:hAnsi="宋体" w:eastAsia="宋体" w:cs="宋体"/>
          <w:szCs w:val="21"/>
          <w:highlight w:val="none"/>
          <w:lang w:bidi="ar"/>
        </w:rPr>
        <w:t>场</w:t>
      </w:r>
      <w:r>
        <w:rPr>
          <w:rFonts w:hint="eastAsia" w:ascii="宋体" w:hAnsi="宋体" w:eastAsia="宋体" w:cs="宋体"/>
          <w:kern w:val="2"/>
          <w:szCs w:val="21"/>
          <w:highlight w:val="none"/>
          <w:lang w:bidi="ar"/>
        </w:rPr>
        <w:t>（库）</w:t>
      </w:r>
      <w:r>
        <w:rPr>
          <w:rFonts w:hint="eastAsia" w:ascii="宋体" w:hAnsi="宋体" w:eastAsia="宋体" w:cs="宋体"/>
          <w:szCs w:val="21"/>
          <w:lang w:bidi="ar"/>
        </w:rPr>
        <w:t>提供的停车泊位总量应占城市机动车停车泊位供给总量的10%～15%</w:t>
      </w:r>
      <w:r>
        <w:rPr>
          <w:rFonts w:hint="eastAsia" w:ascii="宋体" w:hAnsi="宋体" w:eastAsia="宋体" w:cs="宋体"/>
          <w:kern w:val="2"/>
          <w:szCs w:val="21"/>
          <w:lang w:bidi="ar"/>
        </w:rPr>
        <w:t>。</w:t>
      </w:r>
    </w:p>
    <w:p w14:paraId="601C1B4C">
      <w:pPr>
        <w:pStyle w:val="108"/>
        <w:numPr>
          <w:ilvl w:val="3"/>
          <w:numId w:val="32"/>
        </w:numPr>
        <w:spacing w:before="0" w:beforeLines="0" w:after="0" w:afterLines="0"/>
        <w:outlineLvl w:val="9"/>
        <w:rPr>
          <w:rFonts w:ascii="宋体" w:hAnsi="宋体" w:eastAsia="宋体" w:cs="宋体"/>
          <w:kern w:val="2"/>
          <w:szCs w:val="21"/>
          <w:lang w:bidi="ar"/>
        </w:rPr>
      </w:pPr>
      <w:r>
        <w:rPr>
          <w:rFonts w:hint="eastAsia" w:ascii="宋体" w:hAnsi="宋体" w:eastAsia="宋体" w:cs="宋体"/>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szCs w:val="21"/>
          <w:lang w:bidi="ar"/>
        </w:rPr>
        <w:t>规划用地总规划可按规划城市人口核算，人均城市公共停车</w:t>
      </w:r>
      <w:r>
        <w:rPr>
          <w:rFonts w:hint="eastAsia" w:ascii="宋体" w:hAnsi="宋体" w:eastAsia="宋体" w:cs="宋体"/>
          <w:szCs w:val="21"/>
          <w:lang w:val="en-US" w:eastAsia="zh-CN" w:bidi="ar"/>
        </w:rPr>
        <w:t>设施</w:t>
      </w:r>
      <w:r>
        <w:rPr>
          <w:rFonts w:hint="eastAsia" w:ascii="宋体" w:hAnsi="宋体" w:eastAsia="宋体" w:cs="宋体"/>
          <w:szCs w:val="21"/>
          <w:lang w:bidi="ar"/>
        </w:rPr>
        <w:t>占地规模宜控制在0.5m</w:t>
      </w:r>
      <w:r>
        <w:rPr>
          <w:rFonts w:hint="eastAsia" w:ascii="宋体" w:hAnsi="宋体" w:eastAsia="宋体" w:cs="宋体"/>
          <w:szCs w:val="21"/>
          <w:vertAlign w:val="superscript"/>
          <w:lang w:bidi="ar"/>
        </w:rPr>
        <w:t>2</w:t>
      </w:r>
      <w:r>
        <w:rPr>
          <w:rFonts w:hint="eastAsia" w:ascii="宋体" w:hAnsi="宋体" w:eastAsia="宋体" w:cs="宋体"/>
          <w:szCs w:val="21"/>
          <w:lang w:bidi="ar"/>
        </w:rPr>
        <w:t>～1.0m</w:t>
      </w:r>
      <w:r>
        <w:rPr>
          <w:rFonts w:hint="eastAsia" w:ascii="宋体" w:hAnsi="宋体" w:eastAsia="宋体" w:cs="宋体"/>
          <w:szCs w:val="21"/>
          <w:vertAlign w:val="superscript"/>
          <w:lang w:bidi="ar"/>
        </w:rPr>
        <w:t>2</w:t>
      </w:r>
      <w:r>
        <w:rPr>
          <w:rFonts w:hint="eastAsia" w:ascii="宋体" w:hAnsi="宋体" w:eastAsia="宋体" w:cs="宋体"/>
          <w:kern w:val="2"/>
          <w:szCs w:val="21"/>
          <w:lang w:bidi="ar"/>
        </w:rPr>
        <w:t>。</w:t>
      </w:r>
    </w:p>
    <w:p w14:paraId="73F5AF00">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szCs w:val="21"/>
          <w:lang w:bidi="ar"/>
        </w:rPr>
        <w:t>应重视停车资源共享和高效利用，停车场设置的管理用房、停车辅助设施等建筑面积应按照不高于1m</w:t>
      </w:r>
      <w:r>
        <w:rPr>
          <w:rFonts w:hint="eastAsia" w:ascii="宋体" w:hAnsi="宋体" w:eastAsia="宋体" w:cs="宋体"/>
          <w:szCs w:val="21"/>
          <w:vertAlign w:val="superscript"/>
          <w:lang w:bidi="ar"/>
        </w:rPr>
        <w:t>2</w:t>
      </w:r>
      <w:r>
        <w:rPr>
          <w:rFonts w:hint="eastAsia" w:ascii="宋体" w:hAnsi="宋体" w:eastAsia="宋体" w:cs="宋体"/>
          <w:szCs w:val="21"/>
          <w:lang w:bidi="ar"/>
        </w:rPr>
        <w:t>/机动车停车位的标准设置，且管理用房、停车辅助设施的占地面积不应大于城市公共停车场总用地面积的5%</w:t>
      </w:r>
      <w:r>
        <w:rPr>
          <w:rFonts w:hint="eastAsia" w:ascii="宋体" w:hAnsi="宋体" w:eastAsia="宋体" w:cs="宋体"/>
          <w:kern w:val="2"/>
          <w:szCs w:val="21"/>
          <w:lang w:bidi="ar"/>
        </w:rPr>
        <w:t>。</w:t>
      </w:r>
    </w:p>
    <w:p w14:paraId="20BE7C77">
      <w:pPr>
        <w:pStyle w:val="108"/>
        <w:numPr>
          <w:ilvl w:val="3"/>
          <w:numId w:val="2"/>
        </w:numPr>
        <w:spacing w:before="0" w:beforeLines="0" w:after="0" w:afterLines="0"/>
        <w:outlineLvl w:val="9"/>
      </w:pPr>
      <w:r>
        <w:rPr>
          <w:rFonts w:hint="eastAsia" w:ascii="宋体" w:hAnsi="宋体" w:eastAsia="宋体" w:cs="宋体"/>
          <w:szCs w:val="21"/>
          <w:lang w:bidi="ar"/>
        </w:rPr>
        <w:t>城市公共停车场</w:t>
      </w:r>
      <w:r>
        <w:rPr>
          <w:rFonts w:hint="eastAsia" w:ascii="宋体" w:hAnsi="宋体" w:eastAsia="宋体" w:cs="宋体"/>
          <w:kern w:val="2"/>
          <w:szCs w:val="21"/>
          <w:lang w:bidi="ar"/>
        </w:rPr>
        <w:t>（库）</w:t>
      </w:r>
      <w:r>
        <w:rPr>
          <w:rFonts w:hint="eastAsia" w:ascii="宋体" w:hAnsi="宋体" w:eastAsia="宋体" w:cs="宋体"/>
          <w:szCs w:val="21"/>
          <w:lang w:bidi="ar"/>
        </w:rPr>
        <w:t>的建设规模应按停车当量数划分为特大型、大型、中型、小型。建设规模及停车当量数应符合表5.1的规定，停车位换算系数应符合表5.2的规定。</w:t>
      </w:r>
    </w:p>
    <w:p w14:paraId="43255B2A">
      <w:pPr>
        <w:pStyle w:val="26"/>
        <w:autoSpaceDE w:val="0"/>
        <w:autoSpaceDN w:val="0"/>
        <w:spacing w:beforeAutospacing="0" w:afterAutospacing="0"/>
        <w:jc w:val="center"/>
        <w:rPr>
          <w:rFonts w:cs="宋体"/>
          <w:sz w:val="21"/>
          <w:szCs w:val="21"/>
        </w:rPr>
      </w:pPr>
      <w:r>
        <w:rPr>
          <w:rFonts w:hint="eastAsia" w:cs="宋体"/>
          <w:sz w:val="21"/>
          <w:szCs w:val="21"/>
          <w:lang w:bidi="ar"/>
        </w:rPr>
        <w:t>表5.1 公共停车场</w:t>
      </w:r>
      <w:r>
        <w:rPr>
          <w:rFonts w:hint="eastAsia" w:ascii="宋体" w:hAnsi="宋体" w:eastAsia="宋体" w:cs="宋体"/>
          <w:kern w:val="2"/>
          <w:sz w:val="21"/>
          <w:szCs w:val="21"/>
          <w:highlight w:val="none"/>
          <w:lang w:bidi="ar"/>
        </w:rPr>
        <w:t>（库）</w:t>
      </w:r>
      <w:r>
        <w:rPr>
          <w:rFonts w:hint="eastAsia" w:cs="宋体"/>
          <w:sz w:val="21"/>
          <w:szCs w:val="21"/>
          <w:lang w:bidi="ar"/>
        </w:rPr>
        <w:t>建设规模划分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1417"/>
        <w:gridCol w:w="1418"/>
        <w:gridCol w:w="1559"/>
        <w:gridCol w:w="1564"/>
      </w:tblGrid>
      <w:tr w14:paraId="2CAD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tcPr>
          <w:p w14:paraId="45038C8D">
            <w:pPr>
              <w:pStyle w:val="26"/>
              <w:autoSpaceDE w:val="0"/>
              <w:autoSpaceDN w:val="0"/>
              <w:spacing w:beforeAutospacing="0" w:afterAutospacing="0"/>
              <w:jc w:val="center"/>
              <w:rPr>
                <w:sz w:val="21"/>
                <w:szCs w:val="21"/>
              </w:rPr>
            </w:pPr>
            <w:r>
              <w:rPr>
                <w:rFonts w:hint="eastAsia" w:cs="宋体"/>
                <w:sz w:val="21"/>
                <w:szCs w:val="21"/>
                <w:lang w:bidi="ar"/>
              </w:rPr>
              <w:t>规模</w:t>
            </w:r>
          </w:p>
        </w:tc>
        <w:tc>
          <w:tcPr>
            <w:tcW w:w="1417" w:type="dxa"/>
            <w:tcBorders>
              <w:top w:val="single" w:color="auto" w:sz="4" w:space="0"/>
              <w:left w:val="single" w:color="auto" w:sz="4" w:space="0"/>
              <w:bottom w:val="single" w:color="auto" w:sz="4" w:space="0"/>
              <w:right w:val="single" w:color="auto" w:sz="4" w:space="0"/>
            </w:tcBorders>
            <w:shd w:val="clear" w:color="auto" w:fill="auto"/>
          </w:tcPr>
          <w:p w14:paraId="593390A6">
            <w:pPr>
              <w:pStyle w:val="26"/>
              <w:autoSpaceDE w:val="0"/>
              <w:autoSpaceDN w:val="0"/>
              <w:spacing w:beforeAutospacing="0" w:afterAutospacing="0"/>
              <w:jc w:val="center"/>
              <w:rPr>
                <w:sz w:val="21"/>
                <w:szCs w:val="21"/>
              </w:rPr>
            </w:pPr>
            <w:r>
              <w:rPr>
                <w:rFonts w:hint="eastAsia" w:cs="宋体"/>
                <w:sz w:val="21"/>
                <w:szCs w:val="21"/>
                <w:lang w:bidi="ar"/>
              </w:rPr>
              <w:t>特大型</w:t>
            </w:r>
          </w:p>
        </w:tc>
        <w:tc>
          <w:tcPr>
            <w:tcW w:w="1418" w:type="dxa"/>
            <w:tcBorders>
              <w:top w:val="single" w:color="auto" w:sz="4" w:space="0"/>
              <w:left w:val="single" w:color="auto" w:sz="4" w:space="0"/>
              <w:bottom w:val="single" w:color="auto" w:sz="4" w:space="0"/>
              <w:right w:val="single" w:color="auto" w:sz="4" w:space="0"/>
            </w:tcBorders>
            <w:shd w:val="clear" w:color="auto" w:fill="auto"/>
          </w:tcPr>
          <w:p w14:paraId="7CD6B09F">
            <w:pPr>
              <w:pStyle w:val="26"/>
              <w:autoSpaceDE w:val="0"/>
              <w:autoSpaceDN w:val="0"/>
              <w:spacing w:beforeAutospacing="0" w:afterAutospacing="0"/>
              <w:jc w:val="center"/>
              <w:rPr>
                <w:sz w:val="21"/>
                <w:szCs w:val="21"/>
              </w:rPr>
            </w:pPr>
            <w:r>
              <w:rPr>
                <w:rFonts w:hint="eastAsia" w:cs="宋体"/>
                <w:sz w:val="21"/>
                <w:szCs w:val="21"/>
                <w:lang w:bidi="ar"/>
              </w:rPr>
              <w:t>大型</w:t>
            </w: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2BEBFF09">
            <w:pPr>
              <w:pStyle w:val="26"/>
              <w:autoSpaceDE w:val="0"/>
              <w:autoSpaceDN w:val="0"/>
              <w:spacing w:beforeAutospacing="0" w:afterAutospacing="0"/>
              <w:jc w:val="center"/>
              <w:rPr>
                <w:sz w:val="21"/>
                <w:szCs w:val="21"/>
              </w:rPr>
            </w:pPr>
            <w:r>
              <w:rPr>
                <w:rFonts w:hint="eastAsia" w:cs="宋体"/>
                <w:sz w:val="21"/>
                <w:szCs w:val="21"/>
                <w:lang w:bidi="ar"/>
              </w:rPr>
              <w:t>中型</w:t>
            </w: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487071AA">
            <w:pPr>
              <w:pStyle w:val="26"/>
              <w:autoSpaceDE w:val="0"/>
              <w:autoSpaceDN w:val="0"/>
              <w:spacing w:beforeAutospacing="0" w:afterAutospacing="0"/>
              <w:jc w:val="center"/>
              <w:rPr>
                <w:sz w:val="21"/>
                <w:szCs w:val="21"/>
              </w:rPr>
            </w:pPr>
            <w:r>
              <w:rPr>
                <w:rFonts w:hint="eastAsia" w:cs="宋体"/>
                <w:sz w:val="21"/>
                <w:szCs w:val="21"/>
                <w:lang w:bidi="ar"/>
              </w:rPr>
              <w:t>小型</w:t>
            </w:r>
          </w:p>
        </w:tc>
      </w:tr>
      <w:tr w14:paraId="70C2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85" w:type="dxa"/>
            <w:tcBorders>
              <w:top w:val="single" w:color="auto" w:sz="4" w:space="0"/>
              <w:left w:val="single" w:color="auto" w:sz="4" w:space="0"/>
              <w:bottom w:val="single" w:color="auto" w:sz="4" w:space="0"/>
              <w:right w:val="single" w:color="auto" w:sz="4" w:space="0"/>
            </w:tcBorders>
            <w:shd w:val="clear" w:color="auto" w:fill="auto"/>
          </w:tcPr>
          <w:p w14:paraId="0315F8E9">
            <w:pPr>
              <w:pStyle w:val="26"/>
              <w:autoSpaceDE w:val="0"/>
              <w:autoSpaceDN w:val="0"/>
              <w:spacing w:beforeAutospacing="0" w:afterAutospacing="0"/>
              <w:jc w:val="center"/>
              <w:rPr>
                <w:sz w:val="21"/>
                <w:szCs w:val="21"/>
              </w:rPr>
            </w:pPr>
            <w:r>
              <w:rPr>
                <w:rFonts w:hint="eastAsia" w:cs="宋体"/>
                <w:sz w:val="21"/>
                <w:szCs w:val="21"/>
                <w:lang w:bidi="ar"/>
              </w:rPr>
              <w:t>停车泊位当量数</w:t>
            </w:r>
          </w:p>
        </w:tc>
        <w:tc>
          <w:tcPr>
            <w:tcW w:w="1417" w:type="dxa"/>
            <w:tcBorders>
              <w:top w:val="single" w:color="auto" w:sz="4" w:space="0"/>
              <w:left w:val="single" w:color="auto" w:sz="4" w:space="0"/>
              <w:bottom w:val="single" w:color="auto" w:sz="4" w:space="0"/>
              <w:right w:val="single" w:color="auto" w:sz="4" w:space="0"/>
            </w:tcBorders>
            <w:shd w:val="clear" w:color="auto" w:fill="auto"/>
          </w:tcPr>
          <w:p w14:paraId="2FF74ECC">
            <w:pPr>
              <w:pStyle w:val="26"/>
              <w:autoSpaceDE w:val="0"/>
              <w:autoSpaceDN w:val="0"/>
              <w:spacing w:beforeAutospacing="0" w:afterAutospacing="0"/>
              <w:jc w:val="center"/>
              <w:rPr>
                <w:sz w:val="21"/>
                <w:szCs w:val="21"/>
              </w:rPr>
            </w:pPr>
            <w:r>
              <w:rPr>
                <w:rFonts w:hint="eastAsia" w:cs="宋体"/>
                <w:sz w:val="21"/>
                <w:szCs w:val="21"/>
                <w:lang w:bidi="ar"/>
              </w:rPr>
              <w:t>＞1000</w:t>
            </w:r>
          </w:p>
        </w:tc>
        <w:tc>
          <w:tcPr>
            <w:tcW w:w="1418" w:type="dxa"/>
            <w:tcBorders>
              <w:top w:val="single" w:color="auto" w:sz="4" w:space="0"/>
              <w:left w:val="single" w:color="auto" w:sz="4" w:space="0"/>
              <w:bottom w:val="single" w:color="auto" w:sz="4" w:space="0"/>
              <w:right w:val="single" w:color="auto" w:sz="4" w:space="0"/>
            </w:tcBorders>
            <w:shd w:val="clear" w:color="auto" w:fill="auto"/>
          </w:tcPr>
          <w:p w14:paraId="19AE33A9">
            <w:pPr>
              <w:pStyle w:val="26"/>
              <w:autoSpaceDE w:val="0"/>
              <w:autoSpaceDN w:val="0"/>
              <w:spacing w:beforeAutospacing="0" w:afterAutospacing="0"/>
              <w:jc w:val="center"/>
              <w:rPr>
                <w:sz w:val="21"/>
                <w:szCs w:val="21"/>
              </w:rPr>
            </w:pPr>
            <w:r>
              <w:rPr>
                <w:rFonts w:hint="eastAsia" w:cs="宋体"/>
                <w:sz w:val="21"/>
                <w:szCs w:val="21"/>
                <w:lang w:bidi="ar"/>
              </w:rPr>
              <w:t>301～1000</w:t>
            </w: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395E0BCC">
            <w:pPr>
              <w:pStyle w:val="26"/>
              <w:autoSpaceDE w:val="0"/>
              <w:autoSpaceDN w:val="0"/>
              <w:spacing w:beforeAutospacing="0" w:afterAutospacing="0"/>
              <w:jc w:val="center"/>
              <w:rPr>
                <w:sz w:val="21"/>
                <w:szCs w:val="21"/>
              </w:rPr>
            </w:pPr>
            <w:r>
              <w:rPr>
                <w:rFonts w:hint="eastAsia" w:cs="宋体"/>
                <w:sz w:val="21"/>
                <w:szCs w:val="21"/>
                <w:lang w:bidi="ar"/>
              </w:rPr>
              <w:t>51～300</w:t>
            </w:r>
          </w:p>
        </w:tc>
        <w:tc>
          <w:tcPr>
            <w:tcW w:w="1559" w:type="dxa"/>
            <w:tcBorders>
              <w:top w:val="single" w:color="auto" w:sz="4" w:space="0"/>
              <w:left w:val="single" w:color="auto" w:sz="4" w:space="0"/>
              <w:bottom w:val="single" w:color="auto" w:sz="4" w:space="0"/>
              <w:right w:val="single" w:color="auto" w:sz="4" w:space="0"/>
            </w:tcBorders>
            <w:shd w:val="clear" w:color="auto" w:fill="auto"/>
          </w:tcPr>
          <w:p w14:paraId="1F8FF01D">
            <w:pPr>
              <w:pStyle w:val="26"/>
              <w:autoSpaceDE w:val="0"/>
              <w:autoSpaceDN w:val="0"/>
              <w:spacing w:beforeAutospacing="0" w:afterAutospacing="0"/>
              <w:jc w:val="center"/>
              <w:rPr>
                <w:sz w:val="21"/>
                <w:szCs w:val="21"/>
              </w:rPr>
            </w:pPr>
            <w:r>
              <w:rPr>
                <w:rFonts w:hint="eastAsia" w:cs="宋体"/>
                <w:sz w:val="21"/>
                <w:szCs w:val="21"/>
                <w:lang w:bidi="ar"/>
              </w:rPr>
              <w:t>≤50</w:t>
            </w:r>
          </w:p>
        </w:tc>
      </w:tr>
      <w:tr w14:paraId="51BB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943"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28661457">
            <w:pPr>
              <w:pStyle w:val="26"/>
              <w:autoSpaceDE w:val="0"/>
              <w:autoSpaceDN w:val="0"/>
              <w:spacing w:beforeAutospacing="0" w:afterAutospacing="0"/>
              <w:rPr>
                <w:sz w:val="21"/>
                <w:szCs w:val="21"/>
              </w:rPr>
            </w:pPr>
            <w:r>
              <w:rPr>
                <w:rFonts w:hint="eastAsia" w:cs="宋体"/>
                <w:sz w:val="21"/>
                <w:szCs w:val="21"/>
                <w:lang w:bidi="ar"/>
              </w:rPr>
              <w:t>注：以小型汽车为标准车（即换算系数=1.0），其他各型车辆按综合停车占用空间折算，停车位换算系数按表</w:t>
            </w:r>
            <w:r>
              <w:rPr>
                <w:rFonts w:cs="宋体"/>
                <w:sz w:val="21"/>
                <w:szCs w:val="21"/>
                <w:lang w:bidi="ar"/>
              </w:rPr>
              <w:t>5</w:t>
            </w:r>
            <w:r>
              <w:rPr>
                <w:rFonts w:hint="eastAsia" w:cs="宋体"/>
                <w:sz w:val="21"/>
                <w:szCs w:val="21"/>
                <w:lang w:bidi="ar"/>
              </w:rPr>
              <w:t>.2确定。</w:t>
            </w:r>
          </w:p>
        </w:tc>
      </w:tr>
    </w:tbl>
    <w:p w14:paraId="22522F72">
      <w:pPr>
        <w:pStyle w:val="26"/>
        <w:autoSpaceDE w:val="0"/>
        <w:autoSpaceDN w:val="0"/>
        <w:spacing w:before="156" w:beforeLines="50" w:beforeAutospacing="0" w:afterAutospacing="0"/>
        <w:jc w:val="center"/>
        <w:rPr>
          <w:rFonts w:cs="宋体"/>
          <w:sz w:val="21"/>
          <w:szCs w:val="21"/>
        </w:rPr>
      </w:pPr>
      <w:r>
        <w:rPr>
          <w:rFonts w:hint="eastAsia" w:cs="宋体"/>
          <w:sz w:val="21"/>
          <w:szCs w:val="21"/>
          <w:lang w:bidi="ar"/>
        </w:rPr>
        <w:t>表5.2 停车位换算系数</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1575"/>
        <w:gridCol w:w="1185"/>
        <w:gridCol w:w="1185"/>
        <w:gridCol w:w="1186"/>
      </w:tblGrid>
      <w:tr w14:paraId="2B6B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62214DB">
            <w:pPr>
              <w:pStyle w:val="26"/>
              <w:autoSpaceDE w:val="0"/>
              <w:autoSpaceDN w:val="0"/>
              <w:spacing w:beforeAutospacing="0" w:afterAutospacing="0"/>
              <w:jc w:val="center"/>
              <w:rPr>
                <w:sz w:val="21"/>
                <w:szCs w:val="21"/>
              </w:rPr>
            </w:pPr>
            <w:r>
              <w:rPr>
                <w:rFonts w:hint="eastAsia" w:cs="宋体"/>
                <w:sz w:val="21"/>
                <w:szCs w:val="21"/>
                <w:lang w:bidi="ar"/>
              </w:rPr>
              <w:t>车型</w:t>
            </w:r>
          </w:p>
        </w:tc>
        <w:tc>
          <w:tcPr>
            <w:tcW w:w="15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D6D51DA">
            <w:pPr>
              <w:pStyle w:val="26"/>
              <w:autoSpaceDE w:val="0"/>
              <w:autoSpaceDN w:val="0"/>
              <w:spacing w:beforeAutospacing="0" w:afterAutospacing="0"/>
              <w:jc w:val="center"/>
              <w:rPr>
                <w:sz w:val="21"/>
                <w:szCs w:val="21"/>
              </w:rPr>
            </w:pPr>
            <w:r>
              <w:rPr>
                <w:rFonts w:hint="eastAsia" w:cs="宋体"/>
                <w:sz w:val="21"/>
                <w:szCs w:val="21"/>
                <w:lang w:bidi="ar"/>
              </w:rPr>
              <w:t>换算系数</w:t>
            </w:r>
          </w:p>
        </w:tc>
        <w:tc>
          <w:tcPr>
            <w:tcW w:w="355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59009E8">
            <w:pPr>
              <w:pStyle w:val="26"/>
              <w:autoSpaceDE w:val="0"/>
              <w:autoSpaceDN w:val="0"/>
              <w:spacing w:beforeAutospacing="0" w:afterAutospacing="0"/>
              <w:jc w:val="center"/>
              <w:rPr>
                <w:sz w:val="21"/>
                <w:szCs w:val="21"/>
              </w:rPr>
            </w:pPr>
            <w:r>
              <w:rPr>
                <w:rFonts w:hint="eastAsia" w:cs="宋体"/>
                <w:sz w:val="21"/>
                <w:szCs w:val="21"/>
                <w:lang w:bidi="ar"/>
              </w:rPr>
              <w:t>外廓尺寸（m）</w:t>
            </w:r>
          </w:p>
        </w:tc>
      </w:tr>
      <w:tr w14:paraId="7E4D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81DA38">
            <w:pPr>
              <w:rPr>
                <w:rFonts w:ascii="宋体" w:hAnsi="宋体" w:cs="宋体"/>
              </w:rPr>
            </w:pPr>
          </w:p>
        </w:tc>
        <w:tc>
          <w:tcPr>
            <w:tcW w:w="157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863F76">
            <w:pPr>
              <w:rPr>
                <w:rFonts w:ascii="宋体" w:hAnsi="宋体" w:cs="宋体"/>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7E3B618D">
            <w:pPr>
              <w:pStyle w:val="26"/>
              <w:autoSpaceDE w:val="0"/>
              <w:autoSpaceDN w:val="0"/>
              <w:spacing w:beforeAutospacing="0" w:afterAutospacing="0"/>
              <w:jc w:val="center"/>
              <w:rPr>
                <w:sz w:val="21"/>
                <w:szCs w:val="21"/>
              </w:rPr>
            </w:pPr>
            <w:r>
              <w:rPr>
                <w:rFonts w:hint="eastAsia" w:cs="宋体"/>
                <w:sz w:val="21"/>
                <w:szCs w:val="21"/>
                <w:lang w:bidi="ar"/>
              </w:rPr>
              <w:t>总长</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787A624D">
            <w:pPr>
              <w:pStyle w:val="26"/>
              <w:autoSpaceDE w:val="0"/>
              <w:autoSpaceDN w:val="0"/>
              <w:spacing w:beforeAutospacing="0" w:afterAutospacing="0"/>
              <w:jc w:val="center"/>
              <w:rPr>
                <w:sz w:val="21"/>
                <w:szCs w:val="21"/>
              </w:rPr>
            </w:pPr>
            <w:r>
              <w:rPr>
                <w:rFonts w:hint="eastAsia" w:cs="宋体"/>
                <w:sz w:val="21"/>
                <w:szCs w:val="21"/>
                <w:lang w:bidi="ar"/>
              </w:rPr>
              <w:t>总宽</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2815DB6A">
            <w:pPr>
              <w:pStyle w:val="26"/>
              <w:autoSpaceDE w:val="0"/>
              <w:autoSpaceDN w:val="0"/>
              <w:spacing w:beforeAutospacing="0" w:afterAutospacing="0"/>
              <w:jc w:val="center"/>
              <w:rPr>
                <w:sz w:val="21"/>
                <w:szCs w:val="21"/>
              </w:rPr>
            </w:pPr>
            <w:r>
              <w:rPr>
                <w:rFonts w:hint="eastAsia" w:cs="宋体"/>
                <w:sz w:val="21"/>
                <w:szCs w:val="21"/>
                <w:lang w:bidi="ar"/>
              </w:rPr>
              <w:t>总高</w:t>
            </w:r>
          </w:p>
        </w:tc>
      </w:tr>
      <w:tr w14:paraId="0912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6FF2FF">
            <w:pPr>
              <w:pStyle w:val="26"/>
              <w:autoSpaceDE w:val="0"/>
              <w:autoSpaceDN w:val="0"/>
              <w:spacing w:beforeAutospacing="0" w:afterAutospacing="0"/>
              <w:jc w:val="center"/>
              <w:rPr>
                <w:sz w:val="21"/>
                <w:szCs w:val="21"/>
              </w:rPr>
            </w:pPr>
            <w:r>
              <w:rPr>
                <w:rFonts w:hint="eastAsia" w:cs="宋体"/>
                <w:sz w:val="21"/>
                <w:szCs w:val="21"/>
                <w:lang w:bidi="ar"/>
              </w:rPr>
              <w:t>微型车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1D118B9">
            <w:pPr>
              <w:pStyle w:val="26"/>
              <w:autoSpaceDE w:val="0"/>
              <w:autoSpaceDN w:val="0"/>
              <w:spacing w:beforeAutospacing="0" w:afterAutospacing="0"/>
              <w:jc w:val="center"/>
              <w:rPr>
                <w:sz w:val="21"/>
                <w:szCs w:val="21"/>
              </w:rPr>
            </w:pPr>
            <w:r>
              <w:rPr>
                <w:rFonts w:hint="eastAsia" w:cs="宋体"/>
                <w:sz w:val="21"/>
                <w:szCs w:val="21"/>
                <w:lang w:bidi="ar"/>
              </w:rPr>
              <w:t>0.70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2A877DF5">
            <w:pPr>
              <w:pStyle w:val="26"/>
              <w:autoSpaceDE w:val="0"/>
              <w:autoSpaceDN w:val="0"/>
              <w:spacing w:beforeAutospacing="0" w:afterAutospacing="0"/>
              <w:jc w:val="center"/>
              <w:rPr>
                <w:sz w:val="21"/>
                <w:szCs w:val="21"/>
              </w:rPr>
            </w:pPr>
            <w:r>
              <w:rPr>
                <w:rFonts w:hint="eastAsia" w:cs="宋体"/>
                <w:sz w:val="21"/>
                <w:szCs w:val="21"/>
                <w:lang w:bidi="ar"/>
              </w:rPr>
              <w:t>3.80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3F43FA0D">
            <w:pPr>
              <w:pStyle w:val="26"/>
              <w:autoSpaceDE w:val="0"/>
              <w:autoSpaceDN w:val="0"/>
              <w:spacing w:beforeAutospacing="0" w:afterAutospacing="0"/>
              <w:jc w:val="center"/>
              <w:rPr>
                <w:sz w:val="21"/>
                <w:szCs w:val="21"/>
              </w:rPr>
            </w:pPr>
            <w:r>
              <w:rPr>
                <w:rFonts w:hint="eastAsia" w:cs="宋体"/>
                <w:sz w:val="21"/>
                <w:szCs w:val="21"/>
                <w:lang w:bidi="ar"/>
              </w:rPr>
              <w:t>1.60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436A32D4">
            <w:pPr>
              <w:pStyle w:val="26"/>
              <w:autoSpaceDE w:val="0"/>
              <w:autoSpaceDN w:val="0"/>
              <w:spacing w:beforeAutospacing="0" w:afterAutospacing="0"/>
              <w:jc w:val="center"/>
              <w:rPr>
                <w:sz w:val="21"/>
                <w:szCs w:val="21"/>
              </w:rPr>
            </w:pPr>
            <w:r>
              <w:rPr>
                <w:rFonts w:hint="eastAsia" w:cs="宋体"/>
                <w:sz w:val="21"/>
                <w:szCs w:val="21"/>
                <w:lang w:bidi="ar"/>
              </w:rPr>
              <w:t>1.80</w:t>
            </w:r>
          </w:p>
        </w:tc>
      </w:tr>
      <w:tr w14:paraId="273C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0D5698">
            <w:pPr>
              <w:pStyle w:val="26"/>
              <w:autoSpaceDE w:val="0"/>
              <w:autoSpaceDN w:val="0"/>
              <w:spacing w:beforeAutospacing="0" w:afterAutospacing="0"/>
              <w:jc w:val="center"/>
              <w:rPr>
                <w:sz w:val="21"/>
                <w:szCs w:val="21"/>
              </w:rPr>
            </w:pPr>
            <w:r>
              <w:rPr>
                <w:rFonts w:hint="eastAsia" w:cs="宋体"/>
                <w:sz w:val="21"/>
                <w:szCs w:val="21"/>
                <w:lang w:bidi="ar"/>
              </w:rPr>
              <w:t>小型车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07A12DA">
            <w:pPr>
              <w:pStyle w:val="26"/>
              <w:autoSpaceDE w:val="0"/>
              <w:autoSpaceDN w:val="0"/>
              <w:spacing w:beforeAutospacing="0" w:afterAutospacing="0"/>
              <w:jc w:val="center"/>
              <w:rPr>
                <w:sz w:val="21"/>
                <w:szCs w:val="21"/>
              </w:rPr>
            </w:pPr>
            <w:r>
              <w:rPr>
                <w:rFonts w:hint="eastAsia" w:cs="宋体"/>
                <w:sz w:val="21"/>
                <w:szCs w:val="21"/>
                <w:lang w:bidi="ar"/>
              </w:rPr>
              <w:t>1.00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05E5C1F0">
            <w:pPr>
              <w:pStyle w:val="26"/>
              <w:autoSpaceDE w:val="0"/>
              <w:autoSpaceDN w:val="0"/>
              <w:spacing w:beforeAutospacing="0" w:afterAutospacing="0"/>
              <w:jc w:val="center"/>
              <w:rPr>
                <w:sz w:val="21"/>
                <w:szCs w:val="21"/>
              </w:rPr>
            </w:pPr>
            <w:r>
              <w:rPr>
                <w:rFonts w:hint="eastAsia" w:cs="宋体"/>
                <w:sz w:val="21"/>
                <w:szCs w:val="21"/>
                <w:lang w:bidi="ar"/>
              </w:rPr>
              <w:t>4.80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35086182">
            <w:pPr>
              <w:pStyle w:val="26"/>
              <w:autoSpaceDE w:val="0"/>
              <w:autoSpaceDN w:val="0"/>
              <w:spacing w:beforeAutospacing="0" w:afterAutospacing="0"/>
              <w:jc w:val="center"/>
              <w:rPr>
                <w:sz w:val="21"/>
                <w:szCs w:val="21"/>
              </w:rPr>
            </w:pPr>
            <w:r>
              <w:rPr>
                <w:rFonts w:hint="eastAsia" w:cs="宋体"/>
                <w:sz w:val="21"/>
                <w:szCs w:val="21"/>
                <w:lang w:bidi="ar"/>
              </w:rPr>
              <w:t>1.80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07FD6678">
            <w:pPr>
              <w:pStyle w:val="26"/>
              <w:autoSpaceDE w:val="0"/>
              <w:autoSpaceDN w:val="0"/>
              <w:spacing w:beforeAutospacing="0" w:afterAutospacing="0"/>
              <w:jc w:val="center"/>
              <w:rPr>
                <w:sz w:val="21"/>
                <w:szCs w:val="21"/>
              </w:rPr>
            </w:pPr>
            <w:r>
              <w:rPr>
                <w:rFonts w:hint="eastAsia" w:cs="宋体"/>
                <w:sz w:val="21"/>
                <w:szCs w:val="21"/>
                <w:lang w:bidi="ar"/>
              </w:rPr>
              <w:t>2.00</w:t>
            </w:r>
          </w:p>
        </w:tc>
      </w:tr>
      <w:tr w14:paraId="39E9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F86453">
            <w:pPr>
              <w:pStyle w:val="26"/>
              <w:autoSpaceDE w:val="0"/>
              <w:autoSpaceDN w:val="0"/>
              <w:spacing w:beforeAutospacing="0" w:afterAutospacing="0"/>
              <w:jc w:val="center"/>
              <w:rPr>
                <w:sz w:val="21"/>
                <w:szCs w:val="21"/>
              </w:rPr>
            </w:pPr>
            <w:r>
              <w:rPr>
                <w:rFonts w:hint="eastAsia" w:cs="宋体"/>
                <w:sz w:val="21"/>
                <w:szCs w:val="21"/>
                <w:lang w:bidi="ar"/>
              </w:rPr>
              <w:t>轻型车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529237B7">
            <w:pPr>
              <w:pStyle w:val="26"/>
              <w:autoSpaceDE w:val="0"/>
              <w:autoSpaceDN w:val="0"/>
              <w:spacing w:beforeAutospacing="0" w:afterAutospacing="0"/>
              <w:jc w:val="center"/>
              <w:rPr>
                <w:sz w:val="21"/>
                <w:szCs w:val="21"/>
              </w:rPr>
            </w:pPr>
            <w:r>
              <w:rPr>
                <w:rFonts w:hint="eastAsia" w:cs="宋体"/>
                <w:sz w:val="21"/>
                <w:szCs w:val="21"/>
                <w:lang w:bidi="ar"/>
              </w:rPr>
              <w:t>1.50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1E20C331">
            <w:pPr>
              <w:pStyle w:val="26"/>
              <w:autoSpaceDE w:val="0"/>
              <w:autoSpaceDN w:val="0"/>
              <w:spacing w:beforeAutospacing="0" w:afterAutospacing="0"/>
              <w:jc w:val="center"/>
              <w:rPr>
                <w:sz w:val="21"/>
                <w:szCs w:val="21"/>
              </w:rPr>
            </w:pPr>
            <w:r>
              <w:rPr>
                <w:rFonts w:hint="eastAsia" w:cs="宋体"/>
                <w:sz w:val="21"/>
                <w:szCs w:val="21"/>
                <w:lang w:bidi="ar"/>
              </w:rPr>
              <w:t>7.00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34AFCEE8">
            <w:pPr>
              <w:pStyle w:val="26"/>
              <w:autoSpaceDE w:val="0"/>
              <w:autoSpaceDN w:val="0"/>
              <w:spacing w:beforeAutospacing="0" w:afterAutospacing="0"/>
              <w:jc w:val="center"/>
              <w:rPr>
                <w:sz w:val="21"/>
                <w:szCs w:val="21"/>
              </w:rPr>
            </w:pPr>
            <w:r>
              <w:rPr>
                <w:rFonts w:hint="eastAsia" w:cs="宋体"/>
                <w:sz w:val="21"/>
                <w:szCs w:val="21"/>
                <w:lang w:bidi="ar"/>
              </w:rPr>
              <w:t>2.25</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0B26EC92">
            <w:pPr>
              <w:pStyle w:val="26"/>
              <w:autoSpaceDE w:val="0"/>
              <w:autoSpaceDN w:val="0"/>
              <w:spacing w:beforeAutospacing="0" w:afterAutospacing="0"/>
              <w:jc w:val="center"/>
              <w:rPr>
                <w:sz w:val="21"/>
                <w:szCs w:val="21"/>
              </w:rPr>
            </w:pPr>
            <w:r>
              <w:rPr>
                <w:rFonts w:hint="eastAsia" w:cs="宋体"/>
                <w:sz w:val="21"/>
                <w:szCs w:val="21"/>
                <w:lang w:bidi="ar"/>
              </w:rPr>
              <w:t>2.75</w:t>
            </w:r>
          </w:p>
        </w:tc>
      </w:tr>
      <w:tr w14:paraId="7F66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8DC65F">
            <w:pPr>
              <w:pStyle w:val="26"/>
              <w:autoSpaceDE w:val="0"/>
              <w:autoSpaceDN w:val="0"/>
              <w:spacing w:beforeAutospacing="0" w:afterAutospacing="0"/>
              <w:jc w:val="center"/>
              <w:rPr>
                <w:sz w:val="21"/>
                <w:szCs w:val="21"/>
              </w:rPr>
            </w:pPr>
            <w:r>
              <w:rPr>
                <w:rFonts w:hint="eastAsia" w:cs="宋体"/>
                <w:sz w:val="21"/>
                <w:szCs w:val="21"/>
                <w:lang w:bidi="ar"/>
              </w:rPr>
              <w:t>中型车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9C7E2DB">
            <w:pPr>
              <w:pStyle w:val="26"/>
              <w:autoSpaceDE w:val="0"/>
              <w:autoSpaceDN w:val="0"/>
              <w:spacing w:beforeAutospacing="0" w:afterAutospacing="0"/>
              <w:jc w:val="center"/>
              <w:rPr>
                <w:sz w:val="21"/>
                <w:szCs w:val="21"/>
              </w:rPr>
            </w:pPr>
            <w:r>
              <w:rPr>
                <w:rFonts w:hint="eastAsia" w:cs="宋体"/>
                <w:sz w:val="21"/>
                <w:szCs w:val="21"/>
                <w:lang w:bidi="ar"/>
              </w:rPr>
              <w:t>客车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18015C04">
            <w:pPr>
              <w:pStyle w:val="26"/>
              <w:autoSpaceDE w:val="0"/>
              <w:autoSpaceDN w:val="0"/>
              <w:spacing w:beforeAutospacing="0" w:afterAutospacing="0"/>
              <w:jc w:val="center"/>
              <w:rPr>
                <w:sz w:val="21"/>
                <w:szCs w:val="21"/>
              </w:rPr>
            </w:pPr>
            <w:r>
              <w:rPr>
                <w:rFonts w:hint="eastAsia" w:cs="宋体"/>
                <w:sz w:val="21"/>
                <w:szCs w:val="21"/>
                <w:lang w:bidi="ar"/>
              </w:rPr>
              <w:t>2.00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78384EC6">
            <w:pPr>
              <w:pStyle w:val="26"/>
              <w:autoSpaceDE w:val="0"/>
              <w:autoSpaceDN w:val="0"/>
              <w:spacing w:beforeAutospacing="0" w:afterAutospacing="0"/>
              <w:jc w:val="center"/>
              <w:rPr>
                <w:sz w:val="21"/>
                <w:szCs w:val="21"/>
              </w:rPr>
            </w:pPr>
            <w:r>
              <w:rPr>
                <w:rFonts w:hint="eastAsia" w:cs="宋体"/>
                <w:sz w:val="21"/>
                <w:szCs w:val="21"/>
                <w:lang w:bidi="ar"/>
              </w:rPr>
              <w:t>9.00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16FC796D">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5F6D8881">
            <w:pPr>
              <w:pStyle w:val="26"/>
              <w:autoSpaceDE w:val="0"/>
              <w:autoSpaceDN w:val="0"/>
              <w:spacing w:beforeAutospacing="0" w:afterAutospacing="0"/>
              <w:jc w:val="center"/>
              <w:rPr>
                <w:sz w:val="21"/>
                <w:szCs w:val="21"/>
              </w:rPr>
            </w:pPr>
            <w:r>
              <w:rPr>
                <w:rFonts w:hint="eastAsia" w:cs="宋体"/>
                <w:sz w:val="21"/>
                <w:szCs w:val="21"/>
                <w:lang w:bidi="ar"/>
              </w:rPr>
              <w:t>3.20</w:t>
            </w:r>
          </w:p>
        </w:tc>
      </w:tr>
      <w:tr w14:paraId="55E3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91A55C">
            <w:pPr>
              <w:rPr>
                <w:rFonts w:ascii="宋体" w:hAnsi="宋体" w:cs="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22A1C93">
            <w:pPr>
              <w:pStyle w:val="26"/>
              <w:autoSpaceDE w:val="0"/>
              <w:autoSpaceDN w:val="0"/>
              <w:spacing w:beforeAutospacing="0" w:afterAutospacing="0"/>
              <w:jc w:val="center"/>
              <w:rPr>
                <w:sz w:val="21"/>
                <w:szCs w:val="21"/>
              </w:rPr>
            </w:pPr>
            <w:r>
              <w:rPr>
                <w:rFonts w:hint="eastAsia" w:cs="宋体"/>
                <w:sz w:val="21"/>
                <w:szCs w:val="21"/>
                <w:lang w:bidi="ar"/>
              </w:rPr>
              <w:t>货车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22E3E059">
            <w:pPr>
              <w:pStyle w:val="26"/>
              <w:autoSpaceDE w:val="0"/>
              <w:autoSpaceDN w:val="0"/>
              <w:spacing w:beforeAutospacing="0" w:afterAutospacing="0"/>
              <w:jc w:val="center"/>
              <w:rPr>
                <w:sz w:val="21"/>
                <w:szCs w:val="21"/>
              </w:rPr>
            </w:pPr>
            <w:r>
              <w:rPr>
                <w:rFonts w:hint="eastAsia" w:cs="宋体"/>
                <w:sz w:val="21"/>
                <w:szCs w:val="21"/>
                <w:lang w:bidi="ar"/>
              </w:rPr>
              <w:t>2.00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10504D25">
            <w:pPr>
              <w:pStyle w:val="26"/>
              <w:autoSpaceDE w:val="0"/>
              <w:autoSpaceDN w:val="0"/>
              <w:spacing w:beforeAutospacing="0" w:afterAutospacing="0"/>
              <w:jc w:val="center"/>
              <w:rPr>
                <w:sz w:val="21"/>
                <w:szCs w:val="21"/>
              </w:rPr>
            </w:pPr>
            <w:r>
              <w:rPr>
                <w:rFonts w:hint="eastAsia" w:cs="宋体"/>
                <w:sz w:val="21"/>
                <w:szCs w:val="21"/>
                <w:lang w:bidi="ar"/>
              </w:rPr>
              <w:t>9.00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4351F869">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34F44EA9">
            <w:pPr>
              <w:pStyle w:val="26"/>
              <w:autoSpaceDE w:val="0"/>
              <w:autoSpaceDN w:val="0"/>
              <w:spacing w:beforeAutospacing="0" w:afterAutospacing="0"/>
              <w:jc w:val="center"/>
              <w:rPr>
                <w:sz w:val="21"/>
                <w:szCs w:val="21"/>
              </w:rPr>
            </w:pPr>
            <w:r>
              <w:rPr>
                <w:rFonts w:hint="eastAsia" w:cs="宋体"/>
                <w:sz w:val="21"/>
                <w:szCs w:val="21"/>
                <w:lang w:bidi="ar"/>
              </w:rPr>
              <w:t>4.00</w:t>
            </w:r>
          </w:p>
        </w:tc>
      </w:tr>
      <w:tr w14:paraId="4DB3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73EDD0">
            <w:pPr>
              <w:pStyle w:val="26"/>
              <w:autoSpaceDE w:val="0"/>
              <w:autoSpaceDN w:val="0"/>
              <w:spacing w:beforeAutospacing="0" w:afterAutospacing="0"/>
              <w:jc w:val="center"/>
              <w:rPr>
                <w:sz w:val="21"/>
                <w:szCs w:val="21"/>
              </w:rPr>
            </w:pPr>
            <w:r>
              <w:rPr>
                <w:rFonts w:hint="eastAsia" w:cs="宋体"/>
                <w:sz w:val="21"/>
                <w:szCs w:val="21"/>
                <w:lang w:bidi="ar"/>
              </w:rPr>
              <w:t>大型车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2ECA0E">
            <w:pPr>
              <w:pStyle w:val="26"/>
              <w:autoSpaceDE w:val="0"/>
              <w:autoSpaceDN w:val="0"/>
              <w:spacing w:beforeAutospacing="0" w:afterAutospacing="0"/>
              <w:jc w:val="center"/>
              <w:rPr>
                <w:sz w:val="21"/>
                <w:szCs w:val="21"/>
              </w:rPr>
            </w:pPr>
            <w:r>
              <w:rPr>
                <w:rFonts w:hint="eastAsia" w:cs="宋体"/>
                <w:sz w:val="21"/>
                <w:szCs w:val="21"/>
                <w:lang w:bidi="ar"/>
              </w:rPr>
              <w:t>客车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34CE87C0">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2BCD2265">
            <w:pPr>
              <w:pStyle w:val="26"/>
              <w:autoSpaceDE w:val="0"/>
              <w:autoSpaceDN w:val="0"/>
              <w:spacing w:beforeAutospacing="0" w:afterAutospacing="0"/>
              <w:jc w:val="center"/>
              <w:rPr>
                <w:sz w:val="21"/>
                <w:szCs w:val="21"/>
              </w:rPr>
            </w:pPr>
            <w:r>
              <w:rPr>
                <w:rFonts w:hint="eastAsia" w:cs="宋体"/>
                <w:sz w:val="21"/>
                <w:szCs w:val="21"/>
                <w:lang w:bidi="ar"/>
              </w:rPr>
              <w:t>12.00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6E4BDD22">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4D89FCFE">
            <w:pPr>
              <w:pStyle w:val="26"/>
              <w:autoSpaceDE w:val="0"/>
              <w:autoSpaceDN w:val="0"/>
              <w:spacing w:beforeAutospacing="0" w:afterAutospacing="0"/>
              <w:jc w:val="center"/>
              <w:rPr>
                <w:sz w:val="21"/>
                <w:szCs w:val="21"/>
              </w:rPr>
            </w:pPr>
            <w:r>
              <w:rPr>
                <w:rFonts w:hint="eastAsia" w:cs="宋体"/>
                <w:sz w:val="21"/>
                <w:szCs w:val="21"/>
                <w:lang w:bidi="ar"/>
              </w:rPr>
              <w:t>3.50</w:t>
            </w:r>
          </w:p>
        </w:tc>
      </w:tr>
      <w:tr w14:paraId="5BCD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D59E68">
            <w:pPr>
              <w:rPr>
                <w:rFonts w:ascii="宋体" w:hAnsi="宋体" w:cs="宋体"/>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AF40CC7">
            <w:pPr>
              <w:pStyle w:val="26"/>
              <w:autoSpaceDE w:val="0"/>
              <w:autoSpaceDN w:val="0"/>
              <w:spacing w:beforeAutospacing="0" w:afterAutospacing="0"/>
              <w:jc w:val="center"/>
              <w:rPr>
                <w:sz w:val="21"/>
                <w:szCs w:val="21"/>
              </w:rPr>
            </w:pPr>
            <w:r>
              <w:rPr>
                <w:rFonts w:hint="eastAsia" w:cs="宋体"/>
                <w:sz w:val="21"/>
                <w:szCs w:val="21"/>
                <w:lang w:bidi="ar"/>
              </w:rPr>
              <w:t>货车</w:t>
            </w:r>
          </w:p>
        </w:tc>
        <w:tc>
          <w:tcPr>
            <w:tcW w:w="1575" w:type="dxa"/>
            <w:tcBorders>
              <w:top w:val="single" w:color="auto" w:sz="4" w:space="0"/>
              <w:left w:val="single" w:color="auto" w:sz="4" w:space="0"/>
              <w:bottom w:val="single" w:color="auto" w:sz="4" w:space="0"/>
              <w:right w:val="single" w:color="auto" w:sz="4" w:space="0"/>
            </w:tcBorders>
            <w:shd w:val="clear" w:color="auto" w:fill="auto"/>
            <w:vAlign w:val="center"/>
          </w:tcPr>
          <w:p w14:paraId="744E45F3">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577372BE">
            <w:pPr>
              <w:pStyle w:val="26"/>
              <w:autoSpaceDE w:val="0"/>
              <w:autoSpaceDN w:val="0"/>
              <w:spacing w:beforeAutospacing="0" w:afterAutospacing="0"/>
              <w:jc w:val="center"/>
              <w:rPr>
                <w:sz w:val="21"/>
                <w:szCs w:val="21"/>
              </w:rPr>
            </w:pPr>
            <w:r>
              <w:rPr>
                <w:rFonts w:hint="eastAsia" w:cs="宋体"/>
                <w:sz w:val="21"/>
                <w:szCs w:val="21"/>
                <w:lang w:bidi="ar"/>
              </w:rPr>
              <w:t>11.50</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0B678FFF">
            <w:pPr>
              <w:pStyle w:val="26"/>
              <w:autoSpaceDE w:val="0"/>
              <w:autoSpaceDN w:val="0"/>
              <w:spacing w:beforeAutospacing="0" w:afterAutospacing="0"/>
              <w:jc w:val="center"/>
              <w:rPr>
                <w:sz w:val="21"/>
                <w:szCs w:val="21"/>
              </w:rPr>
            </w:pPr>
            <w:r>
              <w:rPr>
                <w:rFonts w:hint="eastAsia" w:cs="宋体"/>
                <w:sz w:val="21"/>
                <w:szCs w:val="21"/>
                <w:lang w:bidi="ar"/>
              </w:rPr>
              <w:t>2.50</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04245628">
            <w:pPr>
              <w:pStyle w:val="26"/>
              <w:autoSpaceDE w:val="0"/>
              <w:autoSpaceDN w:val="0"/>
              <w:spacing w:beforeAutospacing="0" w:afterAutospacing="0"/>
              <w:jc w:val="center"/>
              <w:rPr>
                <w:sz w:val="21"/>
                <w:szCs w:val="21"/>
              </w:rPr>
            </w:pPr>
            <w:r>
              <w:rPr>
                <w:rFonts w:hint="eastAsia" w:cs="宋体"/>
                <w:sz w:val="21"/>
                <w:szCs w:val="21"/>
                <w:lang w:bidi="ar"/>
              </w:rPr>
              <w:t>4.00</w:t>
            </w:r>
          </w:p>
        </w:tc>
      </w:tr>
    </w:tbl>
    <w:p w14:paraId="1AB2E8BB">
      <w:pPr>
        <w:pStyle w:val="26"/>
        <w:autoSpaceDE w:val="0"/>
        <w:autoSpaceDN w:val="0"/>
        <w:spacing w:beforeAutospacing="0" w:afterAutospacing="0"/>
        <w:jc w:val="both"/>
        <w:rPr>
          <w:rFonts w:cs="宋体"/>
          <w:sz w:val="21"/>
          <w:szCs w:val="21"/>
        </w:rPr>
      </w:pPr>
    </w:p>
    <w:p w14:paraId="60D84FBB">
      <w:pPr>
        <w:pStyle w:val="108"/>
        <w:numPr>
          <w:ilvl w:val="3"/>
          <w:numId w:val="2"/>
        </w:numPr>
        <w:spacing w:before="0" w:beforeLines="0" w:after="0" w:afterLines="0"/>
        <w:outlineLvl w:val="9"/>
        <w:rPr>
          <w:rFonts w:ascii="宋体" w:hAnsi="宋体" w:eastAsia="宋体" w:cs="宋体"/>
          <w:szCs w:val="21"/>
          <w:lang w:bidi="ar"/>
        </w:rPr>
      </w:pPr>
      <w:r>
        <w:rPr>
          <w:rFonts w:hint="eastAsia" w:ascii="宋体" w:hAnsi="宋体" w:eastAsia="宋体" w:cs="宋体"/>
          <w:szCs w:val="21"/>
          <w:lang w:bidi="ar"/>
        </w:rPr>
        <w:t>停车当量小于25辆时，出入口可设一个单车道，并应采取进出车辆的避让措施。对于停车当量51～100的中型停车场</w:t>
      </w:r>
      <w:r>
        <w:rPr>
          <w:rFonts w:hint="eastAsia" w:ascii="宋体" w:hAnsi="宋体" w:eastAsia="宋体" w:cs="宋体"/>
          <w:kern w:val="2"/>
          <w:szCs w:val="21"/>
          <w:highlight w:val="none"/>
          <w:lang w:bidi="ar"/>
        </w:rPr>
        <w:t>（库）</w:t>
      </w:r>
      <w:r>
        <w:rPr>
          <w:rFonts w:hint="eastAsia" w:ascii="宋体" w:hAnsi="宋体" w:eastAsia="宋体" w:cs="宋体"/>
          <w:szCs w:val="21"/>
          <w:lang w:bidi="ar"/>
        </w:rPr>
        <w:t>，可设一个出入口，其宽度应采用双车道。对于停车当量</w:t>
      </w:r>
      <w:r>
        <w:rPr>
          <w:rFonts w:ascii="宋体" w:hAnsi="宋体" w:eastAsia="宋体" w:cs="宋体"/>
          <w:szCs w:val="21"/>
          <w:lang w:bidi="ar"/>
        </w:rPr>
        <w:t>10</w:t>
      </w:r>
      <w:r>
        <w:rPr>
          <w:rFonts w:hint="eastAsia" w:ascii="宋体" w:hAnsi="宋体" w:eastAsia="宋体" w:cs="宋体"/>
          <w:szCs w:val="21"/>
          <w:lang w:bidi="ar"/>
        </w:rPr>
        <w:t>1～</w:t>
      </w:r>
      <w:r>
        <w:rPr>
          <w:rFonts w:ascii="宋体" w:hAnsi="宋体" w:eastAsia="宋体" w:cs="宋体"/>
          <w:szCs w:val="21"/>
          <w:lang w:bidi="ar"/>
        </w:rPr>
        <w:t>3</w:t>
      </w:r>
      <w:r>
        <w:rPr>
          <w:rFonts w:hint="eastAsia" w:ascii="宋体" w:hAnsi="宋体" w:eastAsia="宋体" w:cs="宋体"/>
          <w:szCs w:val="21"/>
          <w:lang w:bidi="ar"/>
        </w:rPr>
        <w:t>00的中型停车场</w:t>
      </w:r>
      <w:r>
        <w:rPr>
          <w:rFonts w:hint="eastAsia" w:ascii="宋体" w:hAnsi="宋体" w:eastAsia="宋体" w:cs="宋体"/>
          <w:kern w:val="2"/>
          <w:szCs w:val="21"/>
          <w:lang w:bidi="ar"/>
        </w:rPr>
        <w:t>（库）</w:t>
      </w:r>
      <w:r>
        <w:rPr>
          <w:rFonts w:hint="eastAsia" w:ascii="宋体" w:hAnsi="宋体" w:eastAsia="宋体" w:cs="宋体"/>
          <w:szCs w:val="21"/>
          <w:lang w:bidi="ar"/>
        </w:rPr>
        <w:t>，应设两个出入口。对于停车当量大于300的大型、特大型停车场</w:t>
      </w:r>
      <w:r>
        <w:rPr>
          <w:rFonts w:hint="eastAsia" w:ascii="宋体" w:hAnsi="宋体" w:eastAsia="宋体" w:cs="宋体"/>
          <w:kern w:val="2"/>
          <w:szCs w:val="21"/>
          <w:lang w:bidi="ar"/>
        </w:rPr>
        <w:t>（库）</w:t>
      </w:r>
      <w:r>
        <w:rPr>
          <w:rFonts w:hint="eastAsia" w:ascii="宋体" w:hAnsi="宋体" w:eastAsia="宋体" w:cs="宋体"/>
          <w:szCs w:val="21"/>
          <w:lang w:bidi="ar"/>
        </w:rPr>
        <w:t>，出入口应分开设置，两个出入口之间的距离应大于20m。</w:t>
      </w:r>
    </w:p>
    <w:p w14:paraId="647F18ED">
      <w:pPr>
        <w:pStyle w:val="108"/>
        <w:numPr>
          <w:ilvl w:val="2"/>
          <w:numId w:val="32"/>
        </w:numPr>
        <w:spacing w:before="0" w:beforeLines="0" w:after="0" w:afterLines="0"/>
        <w:outlineLvl w:val="1"/>
      </w:pPr>
      <w:r>
        <w:rPr>
          <w:rFonts w:hint="eastAsia" w:hAnsi="黑体" w:cs="黑体"/>
          <w:szCs w:val="21"/>
          <w:lang w:bidi="ar"/>
        </w:rPr>
        <w:t>停车场</w:t>
      </w:r>
      <w:r>
        <w:rPr>
          <w:rFonts w:hint="eastAsia" w:hAnsi="黑体" w:cs="黑体"/>
          <w:szCs w:val="21"/>
          <w:highlight w:val="none"/>
          <w:lang w:eastAsia="zh-CN" w:bidi="ar"/>
        </w:rPr>
        <w:t>（</w:t>
      </w:r>
      <w:r>
        <w:rPr>
          <w:rFonts w:hint="eastAsia" w:hAnsi="黑体" w:cs="黑体"/>
          <w:szCs w:val="21"/>
          <w:highlight w:val="none"/>
          <w:lang w:val="en-US" w:eastAsia="zh-CN" w:bidi="ar"/>
        </w:rPr>
        <w:t>库</w:t>
      </w:r>
      <w:r>
        <w:rPr>
          <w:rFonts w:hint="eastAsia" w:hAnsi="黑体" w:cs="黑体"/>
          <w:szCs w:val="21"/>
          <w:highlight w:val="none"/>
          <w:lang w:eastAsia="zh-CN" w:bidi="ar"/>
        </w:rPr>
        <w:t>）</w:t>
      </w:r>
      <w:r>
        <w:rPr>
          <w:rFonts w:hint="eastAsia" w:hAnsi="黑体" w:cs="黑体"/>
          <w:szCs w:val="21"/>
          <w:lang w:bidi="ar"/>
        </w:rPr>
        <w:t>设施构成</w:t>
      </w:r>
    </w:p>
    <w:p w14:paraId="1A063763">
      <w:pPr>
        <w:pStyle w:val="108"/>
        <w:numPr>
          <w:ilvl w:val="3"/>
          <w:numId w:val="2"/>
        </w:numPr>
        <w:spacing w:before="0" w:beforeLines="0" w:after="0" w:afterLines="0"/>
        <w:outlineLvl w:val="9"/>
      </w:pPr>
      <w:r>
        <w:rPr>
          <w:rFonts w:hint="eastAsia" w:ascii="宋体" w:hAnsi="宋体" w:eastAsia="宋体" w:cs="宋体"/>
          <w:szCs w:val="21"/>
          <w:lang w:bidi="ar"/>
        </w:rPr>
        <w:t>城市公共停车场</w:t>
      </w:r>
      <w:r>
        <w:rPr>
          <w:rFonts w:hint="eastAsia" w:ascii="宋体" w:hAnsi="宋体" w:eastAsia="宋体" w:cs="宋体"/>
          <w:kern w:val="2"/>
          <w:szCs w:val="21"/>
          <w:highlight w:val="none"/>
          <w:lang w:bidi="ar"/>
        </w:rPr>
        <w:t>（库）</w:t>
      </w:r>
      <w:r>
        <w:rPr>
          <w:rFonts w:hint="eastAsia" w:ascii="宋体" w:hAnsi="宋体" w:eastAsia="宋体" w:cs="宋体"/>
          <w:szCs w:val="21"/>
          <w:lang w:bidi="ar"/>
        </w:rPr>
        <w:t>建设项目应包括停车设施、建筑设备、管理设施以及其他设施构成，具体如下</w:t>
      </w:r>
      <w:r>
        <w:rPr>
          <w:rFonts w:hint="eastAsia" w:ascii="宋体" w:hAnsi="宋体" w:eastAsia="宋体" w:cs="宋体"/>
          <w:szCs w:val="21"/>
        </w:rPr>
        <w:t>：</w:t>
      </w:r>
    </w:p>
    <w:p w14:paraId="511A55B3">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1</w:t>
      </w:r>
      <w:r>
        <w:rPr>
          <w:rFonts w:hint="eastAsia" w:cs="宋体"/>
          <w:sz w:val="21"/>
          <w:szCs w:val="21"/>
          <w:lang w:bidi="ar"/>
        </w:rPr>
        <w:t xml:space="preserve">  停车设施：包括停车位、行车通道、出入口、坡道、人行道、楼电梯、无障碍设施、交通工程设施（防护、标志标线、信号、信息诱导等）；</w:t>
      </w:r>
    </w:p>
    <w:p w14:paraId="28D16FD1">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2</w:t>
      </w:r>
      <w:r>
        <w:rPr>
          <w:rFonts w:hint="eastAsia" w:cs="宋体"/>
          <w:sz w:val="21"/>
          <w:szCs w:val="21"/>
          <w:lang w:bidi="ar"/>
        </w:rPr>
        <w:t xml:space="preserve">  建筑设备：包括给水排水系统、采暖通风系统、电气系统、安全防护与环境保护设施、电动汽车充换电设施等；</w:t>
      </w:r>
    </w:p>
    <w:p w14:paraId="2FA3C650">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3</w:t>
      </w:r>
      <w:r>
        <w:rPr>
          <w:rFonts w:hint="eastAsia" w:cs="宋体"/>
          <w:sz w:val="21"/>
          <w:szCs w:val="21"/>
          <w:lang w:bidi="ar"/>
        </w:rPr>
        <w:t xml:space="preserve">  管理设施：包括警卫、监控、道闸、办公、管理系统、消防与防灾系统设施、库房等；</w:t>
      </w:r>
    </w:p>
    <w:p w14:paraId="051FD6D9">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4</w:t>
      </w:r>
      <w:r>
        <w:rPr>
          <w:rFonts w:hint="eastAsia" w:cs="宋体"/>
          <w:sz w:val="21"/>
          <w:szCs w:val="21"/>
          <w:lang w:bidi="ar"/>
        </w:rPr>
        <w:t xml:space="preserve">  其他设施：包括休息室、卫生间及洗车房等。</w:t>
      </w:r>
    </w:p>
    <w:p w14:paraId="232E47AC">
      <w:pPr>
        <w:pStyle w:val="26"/>
        <w:autoSpaceDE w:val="0"/>
        <w:autoSpaceDN w:val="0"/>
        <w:spacing w:beforeAutospacing="0" w:afterAutospacing="0"/>
        <w:ind w:firstLine="420" w:firstLineChars="200"/>
        <w:jc w:val="both"/>
        <w:rPr>
          <w:rFonts w:cs="宋体"/>
          <w:sz w:val="21"/>
          <w:szCs w:val="21"/>
          <w:lang w:bidi="ar"/>
        </w:rPr>
      </w:pPr>
      <w:r>
        <w:rPr>
          <w:rFonts w:hint="eastAsia" w:cs="宋体"/>
          <w:sz w:val="21"/>
          <w:szCs w:val="21"/>
          <w:lang w:bidi="ar"/>
        </w:rPr>
        <w:t>不同类型与规模的城市公共停车场</w:t>
      </w:r>
      <w:r>
        <w:rPr>
          <w:rFonts w:hint="eastAsia" w:ascii="宋体" w:hAnsi="宋体" w:eastAsia="宋体" w:cs="宋体"/>
          <w:kern w:val="2"/>
          <w:sz w:val="21"/>
          <w:szCs w:val="21"/>
          <w:lang w:bidi="ar"/>
        </w:rPr>
        <w:t>（库）</w:t>
      </w:r>
      <w:r>
        <w:rPr>
          <w:rFonts w:hint="eastAsia" w:cs="宋体"/>
          <w:sz w:val="21"/>
          <w:szCs w:val="21"/>
          <w:lang w:bidi="ar"/>
        </w:rPr>
        <w:t>项目可根据建设条件与功能要求，可对上述设施构成予以减项或分期建设。</w:t>
      </w:r>
    </w:p>
    <w:p w14:paraId="22751D93">
      <w:pPr>
        <w:pStyle w:val="108"/>
        <w:numPr>
          <w:ilvl w:val="3"/>
          <w:numId w:val="2"/>
        </w:numPr>
        <w:spacing w:before="0" w:beforeLines="0" w:after="0" w:afterLines="0"/>
        <w:outlineLvl w:val="9"/>
      </w:pPr>
      <w:r>
        <w:rPr>
          <w:rFonts w:hint="eastAsia" w:ascii="宋体" w:hAnsi="宋体" w:eastAsia="宋体" w:cs="宋体"/>
          <w:szCs w:val="21"/>
        </w:rPr>
        <w:t>城市公共停车场</w:t>
      </w:r>
      <w:r>
        <w:rPr>
          <w:rFonts w:hint="eastAsia" w:ascii="宋体" w:hAnsi="宋体" w:eastAsia="宋体" w:cs="宋体"/>
          <w:kern w:val="2"/>
          <w:szCs w:val="21"/>
          <w:highlight w:val="none"/>
          <w:lang w:bidi="ar"/>
        </w:rPr>
        <w:t>（库）</w:t>
      </w:r>
      <w:r>
        <w:rPr>
          <w:rFonts w:hint="eastAsia" w:ascii="宋体" w:hAnsi="宋体" w:eastAsia="宋体" w:cs="宋体"/>
          <w:szCs w:val="21"/>
          <w:highlight w:val="none"/>
        </w:rPr>
        <w:t>应</w:t>
      </w:r>
      <w:r>
        <w:rPr>
          <w:rFonts w:hint="eastAsia" w:ascii="宋体" w:hAnsi="宋体" w:eastAsia="宋体" w:cs="宋体"/>
          <w:szCs w:val="21"/>
        </w:rPr>
        <w:t>当符合</w:t>
      </w:r>
      <w:r>
        <w:rPr>
          <w:rFonts w:hint="eastAsia" w:ascii="宋体" w:hAnsi="宋体" w:eastAsia="宋体" w:cs="宋体"/>
          <w:szCs w:val="21"/>
          <w:lang w:bidi="ar"/>
        </w:rPr>
        <w:t>以下设置条件</w:t>
      </w:r>
      <w:r>
        <w:rPr>
          <w:rFonts w:hint="eastAsia" w:ascii="宋体" w:hAnsi="宋体" w:eastAsia="宋体" w:cs="宋体"/>
          <w:szCs w:val="21"/>
        </w:rPr>
        <w:t>：</w:t>
      </w:r>
    </w:p>
    <w:p w14:paraId="29BD1879">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 xml:space="preserve">1  </w:t>
      </w:r>
      <w:r>
        <w:rPr>
          <w:rFonts w:hint="eastAsia" w:cs="宋体"/>
          <w:sz w:val="21"/>
          <w:szCs w:val="21"/>
          <w:lang w:bidi="ar"/>
        </w:rPr>
        <w:t>应设置停车场</w:t>
      </w:r>
      <w:r>
        <w:rPr>
          <w:rFonts w:hint="eastAsia" w:ascii="宋体" w:hAnsi="宋体" w:eastAsia="宋体" w:cs="宋体"/>
          <w:kern w:val="2"/>
          <w:sz w:val="21"/>
          <w:szCs w:val="21"/>
          <w:lang w:bidi="ar"/>
        </w:rPr>
        <w:t>（库）</w:t>
      </w:r>
      <w:r>
        <w:rPr>
          <w:rFonts w:hint="eastAsia" w:cs="宋体"/>
          <w:sz w:val="21"/>
          <w:szCs w:val="21"/>
          <w:lang w:bidi="ar"/>
        </w:rPr>
        <w:t>标示牌，并在周边设置明显的停车诱导标识；</w:t>
      </w:r>
    </w:p>
    <w:p w14:paraId="09FF90DA">
      <w:pPr>
        <w:pStyle w:val="26"/>
        <w:autoSpaceDE w:val="0"/>
        <w:autoSpaceDN w:val="0"/>
        <w:spacing w:beforeAutospacing="0" w:afterAutospacing="0"/>
        <w:ind w:firstLine="420" w:firstLineChars="200"/>
        <w:jc w:val="both"/>
        <w:rPr>
          <w:rFonts w:cs="宋体"/>
          <w:sz w:val="21"/>
          <w:szCs w:val="21"/>
          <w:highlight w:val="none"/>
        </w:rPr>
      </w:pPr>
      <w:r>
        <w:rPr>
          <w:rFonts w:hint="eastAsia" w:ascii="黑体" w:hAnsi="黑体" w:eastAsia="黑体" w:cs="黑体"/>
          <w:sz w:val="21"/>
          <w:szCs w:val="21"/>
          <w:lang w:bidi="ar"/>
        </w:rPr>
        <w:t>2</w:t>
      </w:r>
      <w:r>
        <w:rPr>
          <w:rFonts w:hint="eastAsia" w:cs="宋体"/>
          <w:sz w:val="21"/>
          <w:szCs w:val="21"/>
          <w:lang w:bidi="ar"/>
        </w:rPr>
        <w:t xml:space="preserve">  停车</w:t>
      </w:r>
      <w:r>
        <w:rPr>
          <w:rFonts w:hint="eastAsia" w:cs="宋体"/>
          <w:sz w:val="21"/>
          <w:szCs w:val="21"/>
          <w:highlight w:val="none"/>
          <w:lang w:bidi="ar"/>
        </w:rPr>
        <w:t>场</w:t>
      </w:r>
      <w:r>
        <w:rPr>
          <w:rFonts w:hint="eastAsia" w:ascii="宋体" w:hAnsi="宋体" w:eastAsia="宋体" w:cs="宋体"/>
          <w:kern w:val="2"/>
          <w:sz w:val="21"/>
          <w:szCs w:val="21"/>
          <w:highlight w:val="none"/>
          <w:lang w:bidi="ar"/>
        </w:rPr>
        <w:t>（库）</w:t>
      </w:r>
      <w:r>
        <w:rPr>
          <w:rFonts w:hint="eastAsia" w:cs="宋体"/>
          <w:sz w:val="21"/>
          <w:szCs w:val="21"/>
          <w:highlight w:val="none"/>
          <w:lang w:bidi="ar"/>
        </w:rPr>
        <w:t>场地应使用混凝土、沥青或者砂石（砂石类地面硬化应符合扬尘治理有关要求）等对地面进行硬化处理，并保持坚实、平整；</w:t>
      </w:r>
    </w:p>
    <w:p w14:paraId="5038ECAD">
      <w:pPr>
        <w:pStyle w:val="26"/>
        <w:autoSpaceDE w:val="0"/>
        <w:autoSpaceDN w:val="0"/>
        <w:spacing w:beforeAutospacing="0" w:afterAutospacing="0"/>
        <w:ind w:firstLine="420" w:firstLineChars="200"/>
        <w:jc w:val="both"/>
        <w:rPr>
          <w:rFonts w:cs="宋体"/>
          <w:sz w:val="21"/>
          <w:szCs w:val="21"/>
          <w:highlight w:val="none"/>
        </w:rPr>
      </w:pPr>
      <w:r>
        <w:rPr>
          <w:rFonts w:hint="eastAsia" w:ascii="黑体" w:hAnsi="黑体" w:eastAsia="黑体" w:cs="黑体"/>
          <w:sz w:val="21"/>
          <w:szCs w:val="21"/>
          <w:highlight w:val="none"/>
          <w:lang w:bidi="ar"/>
        </w:rPr>
        <w:t xml:space="preserve">3 </w:t>
      </w:r>
      <w:r>
        <w:rPr>
          <w:rFonts w:hint="eastAsia" w:cs="宋体"/>
          <w:sz w:val="21"/>
          <w:szCs w:val="21"/>
          <w:highlight w:val="none"/>
          <w:lang w:bidi="ar"/>
        </w:rPr>
        <w:t xml:space="preserve"> 停车场</w:t>
      </w:r>
      <w:r>
        <w:rPr>
          <w:rFonts w:hint="eastAsia" w:ascii="宋体" w:hAnsi="宋体" w:eastAsia="宋体" w:cs="宋体"/>
          <w:kern w:val="2"/>
          <w:sz w:val="21"/>
          <w:szCs w:val="21"/>
          <w:highlight w:val="none"/>
          <w:lang w:bidi="ar"/>
        </w:rPr>
        <w:t>（库）</w:t>
      </w:r>
      <w:r>
        <w:rPr>
          <w:rFonts w:hint="eastAsia" w:cs="宋体"/>
          <w:sz w:val="21"/>
          <w:szCs w:val="21"/>
          <w:highlight w:val="none"/>
          <w:lang w:bidi="ar"/>
        </w:rPr>
        <w:t>内部应设置交通标志，划定交通标线和泊位标线；</w:t>
      </w:r>
    </w:p>
    <w:p w14:paraId="19A3FB5B">
      <w:pPr>
        <w:pStyle w:val="26"/>
        <w:autoSpaceDE w:val="0"/>
        <w:autoSpaceDN w:val="0"/>
        <w:spacing w:beforeAutospacing="0" w:afterAutospacing="0"/>
        <w:ind w:firstLine="420" w:firstLineChars="200"/>
        <w:jc w:val="both"/>
        <w:rPr>
          <w:rFonts w:cs="宋体"/>
          <w:sz w:val="21"/>
          <w:szCs w:val="21"/>
          <w:highlight w:val="none"/>
        </w:rPr>
      </w:pPr>
      <w:r>
        <w:rPr>
          <w:rFonts w:hint="eastAsia" w:ascii="黑体" w:hAnsi="黑体" w:eastAsia="黑体" w:cs="黑体"/>
          <w:sz w:val="21"/>
          <w:szCs w:val="21"/>
          <w:highlight w:val="none"/>
          <w:lang w:bidi="ar"/>
        </w:rPr>
        <w:t>4</w:t>
      </w:r>
      <w:r>
        <w:rPr>
          <w:rFonts w:hint="eastAsia" w:cs="宋体"/>
          <w:sz w:val="21"/>
          <w:szCs w:val="21"/>
          <w:highlight w:val="none"/>
          <w:lang w:bidi="ar"/>
        </w:rPr>
        <w:t xml:space="preserve">  停车泊位应实施编号管理，并安装车轮定位器；</w:t>
      </w:r>
    </w:p>
    <w:p w14:paraId="168737B7">
      <w:pPr>
        <w:pStyle w:val="26"/>
        <w:autoSpaceDE w:val="0"/>
        <w:autoSpaceDN w:val="0"/>
        <w:spacing w:beforeAutospacing="0" w:afterAutospacing="0"/>
        <w:ind w:firstLine="420" w:firstLineChars="200"/>
        <w:jc w:val="both"/>
        <w:rPr>
          <w:rFonts w:cs="宋体"/>
          <w:sz w:val="21"/>
          <w:szCs w:val="21"/>
          <w:highlight w:val="none"/>
        </w:rPr>
      </w:pPr>
      <w:r>
        <w:rPr>
          <w:rFonts w:hint="eastAsia" w:ascii="黑体" w:hAnsi="黑体" w:eastAsia="黑体" w:cs="黑体"/>
          <w:sz w:val="21"/>
          <w:szCs w:val="21"/>
          <w:highlight w:val="none"/>
          <w:lang w:bidi="ar"/>
        </w:rPr>
        <w:t xml:space="preserve">5 </w:t>
      </w:r>
      <w:r>
        <w:rPr>
          <w:rFonts w:hint="eastAsia" w:cs="宋体"/>
          <w:sz w:val="21"/>
          <w:szCs w:val="21"/>
          <w:highlight w:val="none"/>
          <w:lang w:bidi="ar"/>
        </w:rPr>
        <w:t xml:space="preserve"> </w:t>
      </w:r>
      <w:r>
        <w:rPr>
          <w:rFonts w:hint="eastAsia" w:cs="宋体"/>
          <w:sz w:val="21"/>
          <w:szCs w:val="21"/>
          <w:highlight w:val="none"/>
          <w:lang w:val="en-US" w:eastAsia="zh-CN" w:bidi="ar"/>
        </w:rPr>
        <w:t>应结合停车场（库）规模</w:t>
      </w:r>
      <w:r>
        <w:rPr>
          <w:rFonts w:hint="eastAsia" w:cs="宋体"/>
          <w:sz w:val="21"/>
          <w:szCs w:val="21"/>
          <w:highlight w:val="none"/>
          <w:lang w:bidi="ar"/>
        </w:rPr>
        <w:t>设置并标明残疾人专用的无障碍停车泊位，并配备无障碍设施；</w:t>
      </w:r>
    </w:p>
    <w:p w14:paraId="25849077">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highlight w:val="none"/>
          <w:lang w:bidi="ar"/>
        </w:rPr>
        <w:t>6</w:t>
      </w:r>
      <w:r>
        <w:rPr>
          <w:rFonts w:hint="eastAsia" w:cs="宋体"/>
          <w:sz w:val="21"/>
          <w:szCs w:val="21"/>
          <w:highlight w:val="none"/>
          <w:lang w:bidi="ar"/>
        </w:rPr>
        <w:t xml:space="preserve">  室内停车场</w:t>
      </w:r>
      <w:r>
        <w:rPr>
          <w:rFonts w:hint="eastAsia" w:ascii="宋体" w:hAnsi="宋体" w:eastAsia="宋体" w:cs="宋体"/>
          <w:kern w:val="2"/>
          <w:sz w:val="21"/>
          <w:szCs w:val="21"/>
          <w:highlight w:val="none"/>
          <w:lang w:bidi="ar"/>
        </w:rPr>
        <w:t>（库）</w:t>
      </w:r>
      <w:r>
        <w:rPr>
          <w:rFonts w:hint="eastAsia" w:cs="宋体"/>
          <w:sz w:val="21"/>
          <w:szCs w:val="21"/>
          <w:highlight w:val="none"/>
          <w:lang w:bidi="ar"/>
        </w:rPr>
        <w:t>应</w:t>
      </w:r>
      <w:r>
        <w:rPr>
          <w:rFonts w:hint="eastAsia" w:cs="宋体"/>
          <w:sz w:val="21"/>
          <w:szCs w:val="21"/>
          <w:lang w:bidi="ar"/>
        </w:rPr>
        <w:t>当配备通风、照明、排水、消防、安全监控等设施设备，并保证其正常使用；</w:t>
      </w:r>
    </w:p>
    <w:p w14:paraId="2C534F5D">
      <w:pPr>
        <w:pStyle w:val="26"/>
        <w:autoSpaceDE w:val="0"/>
        <w:autoSpaceDN w:val="0"/>
        <w:spacing w:beforeAutospacing="0" w:afterAutospacing="0"/>
        <w:ind w:firstLine="420" w:firstLineChars="200"/>
        <w:jc w:val="both"/>
        <w:rPr>
          <w:rFonts w:cs="宋体"/>
          <w:sz w:val="21"/>
          <w:szCs w:val="21"/>
        </w:rPr>
      </w:pPr>
      <w:r>
        <w:rPr>
          <w:rFonts w:hint="eastAsia" w:ascii="黑体" w:hAnsi="黑体" w:eastAsia="黑体" w:cs="黑体"/>
          <w:sz w:val="21"/>
          <w:szCs w:val="21"/>
          <w:lang w:bidi="ar"/>
        </w:rPr>
        <w:t>7</w:t>
      </w:r>
      <w:r>
        <w:rPr>
          <w:rFonts w:cs="宋体"/>
          <w:sz w:val="21"/>
          <w:szCs w:val="21"/>
          <w:lang w:bidi="ar"/>
        </w:rPr>
        <w:t xml:space="preserve">  </w:t>
      </w:r>
      <w:r>
        <w:rPr>
          <w:rFonts w:hint="eastAsia" w:cs="宋体"/>
          <w:sz w:val="21"/>
          <w:szCs w:val="21"/>
          <w:lang w:bidi="ar"/>
        </w:rPr>
        <w:t>应建设电动汽车充电基础设施或预留建设安装条件的车位比例不低于20%，并保证安全用地；</w:t>
      </w:r>
    </w:p>
    <w:p w14:paraId="7618F30D">
      <w:pPr>
        <w:pStyle w:val="26"/>
        <w:autoSpaceDE w:val="0"/>
        <w:autoSpaceDN w:val="0"/>
        <w:spacing w:beforeAutospacing="0" w:afterAutospacing="0"/>
        <w:ind w:firstLine="420" w:firstLineChars="200"/>
        <w:jc w:val="both"/>
        <w:rPr>
          <w:rFonts w:cs="宋体"/>
          <w:sz w:val="21"/>
          <w:szCs w:val="21"/>
          <w:lang w:bidi="ar"/>
        </w:rPr>
      </w:pPr>
      <w:r>
        <w:rPr>
          <w:rFonts w:hint="eastAsia" w:ascii="黑体" w:hAnsi="黑体" w:eastAsia="黑体" w:cs="黑体"/>
          <w:sz w:val="21"/>
          <w:szCs w:val="21"/>
          <w:lang w:bidi="ar"/>
        </w:rPr>
        <w:t>8</w:t>
      </w:r>
      <w:r>
        <w:rPr>
          <w:rFonts w:hint="eastAsia" w:cs="宋体"/>
          <w:sz w:val="21"/>
          <w:szCs w:val="21"/>
          <w:lang w:bidi="ar"/>
        </w:rPr>
        <w:t xml:space="preserve">  临时公共停车场应至少满足本条前三项设置要求和有关安全要求。</w:t>
      </w:r>
    </w:p>
    <w:p w14:paraId="0544FB89">
      <w:pPr>
        <w:pStyle w:val="108"/>
        <w:numPr>
          <w:ilvl w:val="3"/>
          <w:numId w:val="2"/>
        </w:numPr>
        <w:spacing w:before="0" w:beforeLines="0" w:after="0" w:afterLines="0"/>
        <w:outlineLvl w:val="9"/>
      </w:pPr>
      <w:r>
        <w:rPr>
          <w:rFonts w:hint="eastAsia" w:ascii="宋体" w:hAnsi="宋体" w:eastAsia="宋体" w:cs="宋体"/>
          <w:szCs w:val="21"/>
        </w:rPr>
        <w:t>城市公共停车场</w:t>
      </w:r>
      <w:r>
        <w:rPr>
          <w:rFonts w:hint="eastAsia" w:ascii="宋体" w:hAnsi="宋体" w:eastAsia="宋体" w:cs="宋体"/>
          <w:kern w:val="2"/>
          <w:sz w:val="21"/>
          <w:szCs w:val="21"/>
          <w:lang w:bidi="ar"/>
        </w:rPr>
        <w:t>（库）</w:t>
      </w:r>
      <w:r>
        <w:rPr>
          <w:rFonts w:hint="eastAsia" w:ascii="宋体" w:hAnsi="宋体" w:eastAsia="宋体" w:cs="宋体"/>
          <w:szCs w:val="21"/>
        </w:rPr>
        <w:t>应设置一定比例的无障碍专用停车位和无障碍设施，并符合表5.3的规定。无障碍停车位布置应靠近入口处或醒目处，设置无障碍车位标识，并具备无障碍连接通道。</w:t>
      </w:r>
    </w:p>
    <w:p w14:paraId="7E9B178B">
      <w:pPr>
        <w:pStyle w:val="26"/>
        <w:autoSpaceDE w:val="0"/>
        <w:autoSpaceDN w:val="0"/>
        <w:spacing w:beforeAutospacing="0" w:afterAutospacing="0"/>
        <w:jc w:val="center"/>
        <w:rPr>
          <w:rFonts w:cs="宋体"/>
          <w:sz w:val="21"/>
          <w:szCs w:val="21"/>
        </w:rPr>
      </w:pPr>
      <w:r>
        <w:rPr>
          <w:rFonts w:hint="eastAsia" w:cs="宋体"/>
          <w:sz w:val="21"/>
          <w:szCs w:val="21"/>
          <w:lang w:bidi="ar"/>
        </w:rPr>
        <w:t>表5.3 无障碍停车位数量设置标准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559"/>
        <w:gridCol w:w="1702"/>
        <w:gridCol w:w="1702"/>
        <w:gridCol w:w="1780"/>
      </w:tblGrid>
      <w:tr w14:paraId="4DCE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027FEA99">
            <w:pPr>
              <w:pStyle w:val="26"/>
              <w:autoSpaceDE w:val="0"/>
              <w:autoSpaceDN w:val="0"/>
              <w:spacing w:beforeAutospacing="0" w:afterAutospacing="0"/>
              <w:jc w:val="center"/>
              <w:rPr>
                <w:sz w:val="21"/>
                <w:szCs w:val="21"/>
              </w:rPr>
            </w:pPr>
            <w:r>
              <w:rPr>
                <w:rFonts w:hint="eastAsia" w:cs="宋体"/>
                <w:sz w:val="21"/>
                <w:szCs w:val="21"/>
                <w:lang w:bidi="ar"/>
              </w:rPr>
              <w:t>停车位数</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7FB0D7F">
            <w:pPr>
              <w:pStyle w:val="26"/>
              <w:autoSpaceDE w:val="0"/>
              <w:autoSpaceDN w:val="0"/>
              <w:spacing w:beforeAutospacing="0" w:afterAutospacing="0"/>
              <w:jc w:val="center"/>
              <w:rPr>
                <w:sz w:val="21"/>
                <w:szCs w:val="21"/>
              </w:rPr>
            </w:pPr>
            <w:r>
              <w:rPr>
                <w:rFonts w:hint="eastAsia" w:cs="宋体"/>
                <w:sz w:val="21"/>
                <w:szCs w:val="21"/>
                <w:lang w:bidi="ar"/>
              </w:rPr>
              <w:t>＞500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C1735CA">
            <w:pPr>
              <w:pStyle w:val="26"/>
              <w:autoSpaceDE w:val="0"/>
              <w:autoSpaceDN w:val="0"/>
              <w:spacing w:beforeAutospacing="0" w:afterAutospacing="0"/>
              <w:jc w:val="center"/>
              <w:rPr>
                <w:sz w:val="21"/>
                <w:szCs w:val="21"/>
              </w:rPr>
            </w:pPr>
            <w:r>
              <w:rPr>
                <w:rFonts w:hint="eastAsia" w:cs="宋体"/>
                <w:sz w:val="21"/>
                <w:szCs w:val="21"/>
                <w:lang w:bidi="ar"/>
              </w:rPr>
              <w:t>301～500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278FEA4">
            <w:pPr>
              <w:pStyle w:val="26"/>
              <w:autoSpaceDE w:val="0"/>
              <w:autoSpaceDN w:val="0"/>
              <w:spacing w:beforeAutospacing="0" w:afterAutospacing="0"/>
              <w:jc w:val="center"/>
              <w:rPr>
                <w:sz w:val="21"/>
                <w:szCs w:val="21"/>
              </w:rPr>
            </w:pPr>
            <w:r>
              <w:rPr>
                <w:rFonts w:hint="eastAsia" w:cs="宋体"/>
                <w:sz w:val="21"/>
                <w:szCs w:val="21"/>
                <w:lang w:bidi="ar"/>
              </w:rPr>
              <w:t>51～300</w:t>
            </w:r>
          </w:p>
        </w:tc>
        <w:tc>
          <w:tcPr>
            <w:tcW w:w="1780" w:type="dxa"/>
            <w:tcBorders>
              <w:top w:val="single" w:color="auto" w:sz="4" w:space="0"/>
              <w:left w:val="single" w:color="auto" w:sz="4" w:space="0"/>
              <w:bottom w:val="single" w:color="auto" w:sz="4" w:space="0"/>
              <w:right w:val="single" w:color="auto" w:sz="4" w:space="0"/>
            </w:tcBorders>
            <w:shd w:val="clear" w:color="auto" w:fill="auto"/>
          </w:tcPr>
          <w:p w14:paraId="7A9EA6E1">
            <w:pPr>
              <w:pStyle w:val="26"/>
              <w:autoSpaceDE w:val="0"/>
              <w:autoSpaceDN w:val="0"/>
              <w:spacing w:beforeAutospacing="0" w:afterAutospacing="0"/>
              <w:jc w:val="center"/>
              <w:rPr>
                <w:sz w:val="21"/>
                <w:szCs w:val="21"/>
              </w:rPr>
            </w:pPr>
            <w:r>
              <w:rPr>
                <w:rFonts w:hint="eastAsia" w:cs="宋体"/>
                <w:sz w:val="21"/>
                <w:szCs w:val="21"/>
                <w:lang w:bidi="ar"/>
              </w:rPr>
              <w:t>≤50</w:t>
            </w:r>
          </w:p>
        </w:tc>
      </w:tr>
      <w:tr w14:paraId="3EA1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14:paraId="36CAC91D">
            <w:pPr>
              <w:pStyle w:val="26"/>
              <w:autoSpaceDE w:val="0"/>
              <w:autoSpaceDN w:val="0"/>
              <w:spacing w:beforeAutospacing="0" w:afterAutospacing="0"/>
              <w:jc w:val="center"/>
              <w:rPr>
                <w:sz w:val="21"/>
                <w:szCs w:val="21"/>
              </w:rPr>
            </w:pPr>
            <w:r>
              <w:rPr>
                <w:rFonts w:hint="eastAsia" w:cs="宋体"/>
                <w:sz w:val="21"/>
                <w:szCs w:val="21"/>
                <w:lang w:bidi="ar"/>
              </w:rPr>
              <w:t>无障碍停车位数</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D26E256">
            <w:pPr>
              <w:pStyle w:val="26"/>
              <w:autoSpaceDE w:val="0"/>
              <w:autoSpaceDN w:val="0"/>
              <w:spacing w:beforeAutospacing="0" w:afterAutospacing="0"/>
              <w:jc w:val="center"/>
              <w:rPr>
                <w:sz w:val="21"/>
                <w:szCs w:val="21"/>
              </w:rPr>
            </w:pPr>
            <w:r>
              <w:rPr>
                <w:rFonts w:hint="eastAsia" w:cs="宋体"/>
                <w:sz w:val="21"/>
                <w:szCs w:val="21"/>
                <w:lang w:bidi="ar"/>
              </w:rPr>
              <w:t>≥2%</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9ED32BA">
            <w:pPr>
              <w:pStyle w:val="26"/>
              <w:autoSpaceDE w:val="0"/>
              <w:autoSpaceDN w:val="0"/>
              <w:spacing w:beforeAutospacing="0" w:afterAutospacing="0"/>
              <w:jc w:val="center"/>
              <w:rPr>
                <w:sz w:val="21"/>
                <w:szCs w:val="21"/>
              </w:rPr>
            </w:pPr>
            <w:r>
              <w:rPr>
                <w:rFonts w:hint="eastAsia" w:cs="宋体"/>
                <w:sz w:val="21"/>
                <w:szCs w:val="21"/>
                <w:lang w:bidi="ar"/>
              </w:rPr>
              <w:t>≥8个</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70462FFA">
            <w:pPr>
              <w:pStyle w:val="26"/>
              <w:autoSpaceDE w:val="0"/>
              <w:autoSpaceDN w:val="0"/>
              <w:spacing w:beforeAutospacing="0" w:afterAutospacing="0"/>
              <w:jc w:val="center"/>
              <w:rPr>
                <w:sz w:val="21"/>
                <w:szCs w:val="21"/>
              </w:rPr>
            </w:pPr>
            <w:r>
              <w:rPr>
                <w:rFonts w:hint="eastAsia" w:cs="宋体"/>
                <w:sz w:val="21"/>
                <w:szCs w:val="21"/>
                <w:lang w:bidi="ar"/>
              </w:rPr>
              <w:t>≥5个</w:t>
            </w:r>
          </w:p>
        </w:tc>
        <w:tc>
          <w:tcPr>
            <w:tcW w:w="1780" w:type="dxa"/>
            <w:tcBorders>
              <w:top w:val="single" w:color="auto" w:sz="4" w:space="0"/>
              <w:left w:val="single" w:color="auto" w:sz="4" w:space="0"/>
              <w:bottom w:val="single" w:color="auto" w:sz="4" w:space="0"/>
              <w:right w:val="single" w:color="auto" w:sz="4" w:space="0"/>
            </w:tcBorders>
            <w:shd w:val="clear" w:color="auto" w:fill="auto"/>
          </w:tcPr>
          <w:p w14:paraId="27E987E9">
            <w:pPr>
              <w:pStyle w:val="26"/>
              <w:autoSpaceDE w:val="0"/>
              <w:autoSpaceDN w:val="0"/>
              <w:spacing w:beforeAutospacing="0" w:afterAutospacing="0"/>
              <w:jc w:val="center"/>
              <w:rPr>
                <w:sz w:val="21"/>
                <w:szCs w:val="21"/>
              </w:rPr>
            </w:pPr>
            <w:r>
              <w:rPr>
                <w:rFonts w:hint="eastAsia" w:cs="宋体"/>
                <w:sz w:val="21"/>
                <w:szCs w:val="21"/>
                <w:lang w:bidi="ar"/>
              </w:rPr>
              <w:t>≥2个（停车位不足20个可设1个）</w:t>
            </w:r>
          </w:p>
        </w:tc>
      </w:tr>
    </w:tbl>
    <w:p w14:paraId="7A0DB411">
      <w:pPr>
        <w:pStyle w:val="108"/>
        <w:spacing w:before="312" w:after="312"/>
        <w:rPr>
          <w:rFonts w:ascii="宋体" w:hAnsi="宋体" w:eastAsia="宋体" w:cs="宋体"/>
          <w:kern w:val="2"/>
          <w:szCs w:val="21"/>
          <w:lang w:bidi="ar"/>
        </w:rPr>
      </w:pPr>
      <w:r>
        <w:rPr>
          <w:rFonts w:hint="eastAsia"/>
        </w:rPr>
        <w:t>基地和总平面</w:t>
      </w:r>
    </w:p>
    <w:p w14:paraId="10DDF7B1">
      <w:pPr>
        <w:pStyle w:val="109"/>
        <w:numPr>
          <w:ilvl w:val="2"/>
          <w:numId w:val="33"/>
        </w:numPr>
        <w:spacing w:before="0" w:beforeLines="0" w:after="0" w:afterLines="0"/>
        <w:outlineLvl w:val="9"/>
        <w:rPr>
          <w:rFonts w:ascii="宋体" w:hAnsi="宋体" w:eastAsia="宋体" w:cs="宋体"/>
          <w:kern w:val="2"/>
          <w:szCs w:val="21"/>
          <w:lang w:bidi="ar"/>
        </w:rPr>
      </w:pPr>
      <w:r>
        <w:rPr>
          <w:rFonts w:hint="eastAsia" w:ascii="宋体" w:hAnsi="宋体" w:eastAsia="宋体" w:cs="宋体"/>
        </w:rPr>
        <w:t>城市公共停车场</w:t>
      </w:r>
      <w:r>
        <w:rPr>
          <w:rFonts w:hint="eastAsia" w:ascii="宋体" w:hAnsi="宋体" w:eastAsia="宋体" w:cs="宋体"/>
          <w:lang w:eastAsia="zh-CN"/>
        </w:rPr>
        <w:t>（</w:t>
      </w:r>
      <w:r>
        <w:rPr>
          <w:rFonts w:hint="eastAsia" w:ascii="宋体" w:hAnsi="宋体" w:eastAsia="宋体" w:cs="宋体"/>
          <w:lang w:val="en-US" w:eastAsia="zh-CN"/>
        </w:rPr>
        <w:t>库</w:t>
      </w:r>
      <w:r>
        <w:rPr>
          <w:rFonts w:hint="eastAsia" w:ascii="宋体" w:hAnsi="宋体" w:eastAsia="宋体" w:cs="宋体"/>
          <w:lang w:eastAsia="zh-CN"/>
        </w:rPr>
        <w:t>）</w:t>
      </w:r>
      <w:r>
        <w:rPr>
          <w:rFonts w:ascii="宋体" w:hAnsi="宋体" w:eastAsia="宋体" w:cs="宋体"/>
        </w:rPr>
        <w:t>基地</w:t>
      </w:r>
      <w:r>
        <w:rPr>
          <w:rFonts w:hint="eastAsia" w:ascii="宋体" w:hAnsi="宋体" w:eastAsia="宋体" w:cs="宋体"/>
        </w:rPr>
        <w:t>出入口的设置应符合下列规定：</w:t>
      </w:r>
    </w:p>
    <w:p w14:paraId="08C6B289">
      <w:pPr>
        <w:spacing w:line="240" w:lineRule="auto"/>
        <w:ind w:firstLine="210" w:firstLineChars="100"/>
        <w:rPr>
          <w:rFonts w:ascii="宋体" w:hAnsi="宋体" w:cs="宋体"/>
        </w:rPr>
      </w:pPr>
      <w:r>
        <w:rPr>
          <w:rFonts w:hint="eastAsia" w:ascii="黑体" w:hAnsi="黑体" w:eastAsia="黑体" w:cs="黑体"/>
        </w:rPr>
        <w:t>1</w:t>
      </w:r>
      <w:r>
        <w:rPr>
          <w:rFonts w:hint="eastAsia" w:ascii="宋体" w:hAnsi="宋体" w:cs="宋体"/>
        </w:rPr>
        <w:t xml:space="preserve">  出入口不应直接与城市快速路相连接；</w:t>
      </w:r>
    </w:p>
    <w:p w14:paraId="2CEBB5F6">
      <w:pPr>
        <w:spacing w:line="240" w:lineRule="auto"/>
        <w:ind w:firstLine="210" w:firstLineChars="100"/>
        <w:rPr>
          <w:rFonts w:ascii="宋体" w:hAnsi="宋体" w:cs="宋体"/>
        </w:rPr>
      </w:pPr>
      <w:r>
        <w:rPr>
          <w:rFonts w:hint="eastAsia" w:ascii="黑体" w:hAnsi="黑体" w:eastAsia="黑体" w:cs="黑体"/>
        </w:rPr>
        <w:t>2</w:t>
      </w:r>
      <w:r>
        <w:rPr>
          <w:rFonts w:ascii="宋体" w:hAnsi="宋体" w:cs="宋体"/>
        </w:rPr>
        <w:t xml:space="preserve">  </w:t>
      </w:r>
      <w:r>
        <w:rPr>
          <w:rFonts w:hint="eastAsia" w:ascii="宋体" w:hAnsi="宋体" w:cs="宋体"/>
        </w:rPr>
        <w:t>城市主干路上开设机动车出入口应严格控制，受条件限制必须设置时，应进行专题研究</w:t>
      </w:r>
      <w:r>
        <w:rPr>
          <w:rFonts w:ascii="宋体" w:hAnsi="宋体" w:cs="宋体"/>
        </w:rPr>
        <w:t>；</w:t>
      </w:r>
    </w:p>
    <w:p w14:paraId="56DCA737">
      <w:pPr>
        <w:spacing w:line="240" w:lineRule="auto"/>
        <w:ind w:firstLine="210" w:firstLineChars="100"/>
        <w:rPr>
          <w:rFonts w:ascii="宋体" w:hAnsi="宋体" w:cs="宋体"/>
        </w:rPr>
      </w:pPr>
      <w:r>
        <w:rPr>
          <w:rFonts w:ascii="黑体" w:hAnsi="黑体" w:eastAsia="黑体" w:cs="黑体"/>
        </w:rPr>
        <w:t>3</w:t>
      </w:r>
      <w:r>
        <w:rPr>
          <w:rFonts w:ascii="宋体" w:hAnsi="宋体" w:cs="宋体"/>
        </w:rPr>
        <w:t xml:space="preserve">  </w:t>
      </w:r>
      <w:r>
        <w:rPr>
          <w:rFonts w:hint="eastAsia" w:ascii="宋体" w:hAnsi="宋体" w:cs="宋体"/>
        </w:rPr>
        <w:t>建设项目沿一条道路宜只开设一个机动车出入口（消防专用道除外，但消防专用道不得破坏人行道路缘石），相邻地块建筑应尽可能共用机动车出入口通道；</w:t>
      </w:r>
    </w:p>
    <w:p w14:paraId="0F0040ED">
      <w:pPr>
        <w:spacing w:line="240" w:lineRule="auto"/>
        <w:ind w:firstLine="210" w:firstLineChars="100"/>
        <w:rPr>
          <w:rFonts w:ascii="宋体" w:hAnsi="宋体" w:cs="宋体"/>
        </w:rPr>
      </w:pPr>
      <w:r>
        <w:rPr>
          <w:rFonts w:ascii="黑体" w:hAnsi="黑体" w:eastAsia="黑体" w:cs="黑体"/>
        </w:rPr>
        <w:t>4</w:t>
      </w:r>
      <w:r>
        <w:rPr>
          <w:rFonts w:hint="eastAsia" w:ascii="宋体" w:hAnsi="宋体" w:cs="宋体"/>
        </w:rPr>
        <w:t xml:space="preserve">  当建设项目相邻道路为两条或两条以上时，应向较低一级城市道路上开口；</w:t>
      </w:r>
    </w:p>
    <w:p w14:paraId="7018460E">
      <w:pPr>
        <w:spacing w:line="240" w:lineRule="auto"/>
        <w:ind w:firstLine="210" w:firstLineChars="100"/>
        <w:rPr>
          <w:rFonts w:ascii="宋体" w:hAnsi="宋体" w:cs="宋体"/>
        </w:rPr>
      </w:pPr>
      <w:r>
        <w:rPr>
          <w:rFonts w:ascii="黑体" w:hAnsi="黑体" w:eastAsia="黑体" w:cs="黑体"/>
        </w:rPr>
        <w:t>5</w:t>
      </w:r>
      <w:r>
        <w:rPr>
          <w:rFonts w:hint="eastAsia" w:ascii="宋体" w:hAnsi="宋体" w:cs="宋体"/>
        </w:rPr>
        <w:t xml:space="preserve">  出入口不应设置在交叉口展宽段、展宽渐变段、道路转弯处、人行横道处、公共交通停靠站、陡坡路段及桥隧引道处等，受条件限制必须设置时，应进行专题研究；</w:t>
      </w:r>
    </w:p>
    <w:p w14:paraId="4EDBE3F2">
      <w:pPr>
        <w:spacing w:line="240" w:lineRule="auto"/>
        <w:ind w:firstLine="210" w:firstLineChars="100"/>
        <w:rPr>
          <w:rFonts w:ascii="宋体" w:hAnsi="宋体" w:cs="宋体"/>
        </w:rPr>
      </w:pPr>
      <w:r>
        <w:rPr>
          <w:rFonts w:ascii="黑体" w:hAnsi="黑体" w:eastAsia="黑体" w:cs="黑体"/>
        </w:rPr>
        <w:t>6</w:t>
      </w:r>
      <w:r>
        <w:rPr>
          <w:rFonts w:hint="eastAsia" w:ascii="宋体" w:hAnsi="宋体" w:cs="宋体"/>
        </w:rPr>
        <w:t xml:space="preserve">  设置在次干路的出入口与相邻道路交叉口</w:t>
      </w:r>
      <w:r>
        <w:rPr>
          <w:rFonts w:ascii="宋体" w:hAnsi="宋体" w:cs="宋体"/>
        </w:rPr>
        <w:t>最近边缘</w:t>
      </w:r>
      <w:r>
        <w:rPr>
          <w:rFonts w:hint="eastAsia" w:ascii="宋体" w:hAnsi="宋体" w:cs="宋体"/>
        </w:rPr>
        <w:t>的距离不应小于50m，支路不宜小于30m；受条件限制</w:t>
      </w:r>
      <w:r>
        <w:rPr>
          <w:rFonts w:ascii="宋体" w:hAnsi="宋体" w:cs="宋体"/>
        </w:rPr>
        <w:t>无法满足</w:t>
      </w:r>
      <w:r>
        <w:rPr>
          <w:rFonts w:hint="eastAsia" w:ascii="宋体" w:hAnsi="宋体" w:cs="宋体"/>
        </w:rPr>
        <w:t>时，应进行专题研究</w:t>
      </w:r>
      <w:r>
        <w:rPr>
          <w:rFonts w:ascii="宋体" w:hAnsi="宋体" w:cs="宋体"/>
        </w:rPr>
        <w:t>；</w:t>
      </w:r>
    </w:p>
    <w:p w14:paraId="79D92B38">
      <w:pPr>
        <w:spacing w:line="240" w:lineRule="auto"/>
        <w:rPr>
          <w:rFonts w:ascii="宋体" w:hAnsi="宋体" w:cs="宋体"/>
        </w:rPr>
      </w:pPr>
      <w:r>
        <w:rPr>
          <w:rFonts w:ascii="宋体" w:hAnsi="宋体" w:cs="宋体"/>
        </w:rPr>
        <w:t xml:space="preserve">  </w:t>
      </w:r>
      <w:r>
        <w:rPr>
          <w:rFonts w:ascii="黑体" w:hAnsi="黑体" w:eastAsia="黑体" w:cs="黑体"/>
        </w:rPr>
        <w:t>7</w:t>
      </w:r>
      <w:r>
        <w:rPr>
          <w:rFonts w:hint="eastAsia" w:ascii="宋体" w:hAnsi="宋体" w:cs="宋体"/>
        </w:rPr>
        <w:t xml:space="preserve">  出入口距离公园、学校及有儿童、老年人、残疾人使用建筑</w:t>
      </w:r>
      <w:r>
        <w:rPr>
          <w:rFonts w:ascii="宋体" w:hAnsi="宋体" w:cs="宋体"/>
        </w:rPr>
        <w:t>的出入口最近边缘不应小于20.0m；</w:t>
      </w:r>
    </w:p>
    <w:p w14:paraId="24809558">
      <w:pPr>
        <w:spacing w:line="240" w:lineRule="auto"/>
        <w:ind w:firstLine="210" w:firstLineChars="100"/>
        <w:rPr>
          <w:rFonts w:ascii="宋体" w:hAnsi="宋体" w:cs="宋体"/>
        </w:rPr>
      </w:pPr>
      <w:r>
        <w:rPr>
          <w:rFonts w:ascii="黑体" w:hAnsi="黑体" w:eastAsia="黑体" w:cs="黑体"/>
        </w:rPr>
        <w:t>8</w:t>
      </w:r>
      <w:r>
        <w:rPr>
          <w:rFonts w:hint="eastAsia" w:ascii="宋体" w:hAnsi="宋体" w:cs="宋体"/>
        </w:rPr>
        <w:t xml:space="preserve">  出入口</w:t>
      </w:r>
      <w:r>
        <w:rPr>
          <w:rFonts w:ascii="宋体" w:hAnsi="宋体" w:cs="宋体"/>
        </w:rPr>
        <w:t>应有良好的视线，行车视距范围内不应有遮挡视线的障碍物</w:t>
      </w:r>
      <w:r>
        <w:rPr>
          <w:rFonts w:hint="eastAsia" w:ascii="宋体" w:hAnsi="宋体" w:cs="宋体"/>
        </w:rPr>
        <w:t>。其视距</w:t>
      </w:r>
      <w:r>
        <w:rPr>
          <w:rFonts w:ascii="宋体" w:hAnsi="宋体" w:cs="宋体"/>
        </w:rPr>
        <w:t>范围</w:t>
      </w:r>
      <w:r>
        <w:rPr>
          <w:rFonts w:hint="eastAsia" w:ascii="宋体" w:hAnsi="宋体" w:cs="宋体"/>
        </w:rPr>
        <w:t>见下图：</w:t>
      </w:r>
    </w:p>
    <w:p w14:paraId="0838944D">
      <w:pPr>
        <w:pStyle w:val="60"/>
        <w:ind w:firstLine="420"/>
        <w:rPr>
          <w:rFonts w:hAnsi="宋体" w:cs="宋体"/>
        </w:rPr>
      </w:pPr>
      <w:r>
        <w:rPr>
          <w:rFonts w:hint="eastAsia" w:hAnsi="宋体" w:cs="宋体"/>
        </w:rPr>
        <w:t>出入口行驶方向的最外侧的车道中心线在距建设项目用地红线内</w:t>
      </w:r>
      <w:r>
        <w:rPr>
          <w:rFonts w:hAnsi="宋体" w:cs="宋体"/>
        </w:rPr>
        <w:t xml:space="preserve">2.0m </w:t>
      </w:r>
      <w:r>
        <w:rPr>
          <w:rFonts w:hint="eastAsia" w:hAnsi="宋体" w:cs="宋体"/>
        </w:rPr>
        <w:t xml:space="preserve">处作为视点的 </w:t>
      </w:r>
      <w:r>
        <w:rPr>
          <w:rFonts w:hAnsi="宋体" w:cs="宋体"/>
        </w:rPr>
        <w:t>120°</w:t>
      </w:r>
      <w:r>
        <w:rPr>
          <w:rFonts w:hint="eastAsia" w:hAnsi="宋体" w:cs="宋体"/>
        </w:rPr>
        <w:t xml:space="preserve">范围内至机动车道路缘石外 </w:t>
      </w:r>
      <w:r>
        <w:rPr>
          <w:rFonts w:hAnsi="宋体" w:cs="宋体"/>
        </w:rPr>
        <w:t>7.5m</w:t>
      </w:r>
      <w:r>
        <w:rPr>
          <w:rFonts w:hint="eastAsia" w:hAnsi="宋体" w:cs="宋体"/>
        </w:rPr>
        <w:t>，所组成的三角形。</w:t>
      </w:r>
    </w:p>
    <w:p w14:paraId="00EF2473">
      <w:pPr>
        <w:pStyle w:val="2"/>
        <w:spacing w:line="240" w:lineRule="auto"/>
        <w:rPr>
          <w:rFonts w:hAnsi="宋体" w:cs="宋体"/>
          <w:color w:val="C55A11"/>
        </w:rPr>
      </w:pPr>
      <w:r>
        <w:drawing>
          <wp:inline distT="0" distB="0" distL="114300" distR="114300">
            <wp:extent cx="5931535" cy="1519555"/>
            <wp:effectExtent l="0" t="0" r="1206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931535" cy="1519555"/>
                    </a:xfrm>
                    <a:prstGeom prst="rect">
                      <a:avLst/>
                    </a:prstGeom>
                  </pic:spPr>
                </pic:pic>
              </a:graphicData>
            </a:graphic>
          </wp:inline>
        </w:drawing>
      </w:r>
    </w:p>
    <w:p w14:paraId="593CFA3F">
      <w:pPr>
        <w:pStyle w:val="108"/>
        <w:numPr>
          <w:ilvl w:val="2"/>
          <w:numId w:val="32"/>
        </w:numPr>
        <w:spacing w:before="0" w:beforeLines="0" w:after="0" w:afterLines="0"/>
        <w:outlineLvl w:val="9"/>
        <w:rPr>
          <w:rFonts w:ascii="宋体" w:hAnsi="宋体" w:eastAsia="宋体" w:cs="宋体"/>
          <w:szCs w:val="21"/>
        </w:rPr>
      </w:pPr>
      <w:r>
        <w:rPr>
          <w:rFonts w:hint="eastAsia" w:ascii="宋体" w:hAnsi="宋体" w:eastAsia="宋体" w:cs="宋体"/>
          <w:szCs w:val="21"/>
        </w:rPr>
        <w:t>基地机动车出入口不应采用车辆转弯半径不足的U型掉头交通组织方式。</w:t>
      </w:r>
    </w:p>
    <w:p w14:paraId="1A866DF6">
      <w:pPr>
        <w:pStyle w:val="108"/>
        <w:numPr>
          <w:ilvl w:val="2"/>
          <w:numId w:val="32"/>
        </w:numPr>
        <w:spacing w:before="0" w:beforeLines="0" w:after="0" w:afterLines="0"/>
        <w:outlineLvl w:val="9"/>
        <w:rPr>
          <w:rFonts w:ascii="宋体" w:hAnsi="宋体" w:eastAsia="宋体" w:cs="宋体"/>
          <w:szCs w:val="21"/>
        </w:rPr>
      </w:pPr>
      <w:r>
        <w:rPr>
          <w:rFonts w:hint="eastAsia" w:ascii="宋体" w:hAnsi="宋体" w:eastAsia="宋体" w:cs="宋体"/>
          <w:szCs w:val="21"/>
        </w:rPr>
        <w:t>基地机动车出入口不宜设置道闸；确须采取封闭式管理的基地机动车出入口，道闸的设置位置距离城市道路红线不应小于12米。</w:t>
      </w:r>
    </w:p>
    <w:p w14:paraId="16F26F0B">
      <w:pPr>
        <w:pStyle w:val="108"/>
        <w:numPr>
          <w:ilvl w:val="2"/>
          <w:numId w:val="32"/>
        </w:numPr>
        <w:spacing w:before="0" w:beforeLines="0" w:after="0" w:afterLines="0"/>
        <w:outlineLvl w:val="9"/>
        <w:rPr>
          <w:rFonts w:ascii="宋体" w:hAnsi="宋体" w:eastAsia="宋体" w:cs="宋体"/>
          <w:szCs w:val="21"/>
        </w:rPr>
      </w:pPr>
      <w:r>
        <w:rPr>
          <w:rFonts w:hint="eastAsia" w:ascii="宋体" w:hAnsi="宋体" w:eastAsia="宋体" w:cs="宋体"/>
          <w:szCs w:val="21"/>
        </w:rPr>
        <w:t>基地人行出入口与机动车出入口宜分开设置，确须合并时应设置相应的交通安全设施。</w:t>
      </w:r>
    </w:p>
    <w:p w14:paraId="28FC0A49">
      <w:pPr>
        <w:pStyle w:val="108"/>
        <w:numPr>
          <w:ilvl w:val="2"/>
          <w:numId w:val="32"/>
        </w:numPr>
        <w:spacing w:before="0" w:beforeLines="0" w:after="0" w:afterLines="0"/>
        <w:outlineLvl w:val="9"/>
        <w:rPr>
          <w:rFonts w:ascii="宋体" w:hAnsi="宋体" w:eastAsia="宋体" w:cs="宋体"/>
          <w:szCs w:val="21"/>
        </w:rPr>
      </w:pPr>
      <w:r>
        <w:rPr>
          <w:rFonts w:hint="eastAsia" w:ascii="宋体" w:hAnsi="宋体" w:eastAsia="宋体" w:cs="宋体"/>
          <w:szCs w:val="21"/>
        </w:rPr>
        <w:t>基地内机动车道路应符合下列规定:</w:t>
      </w:r>
    </w:p>
    <w:p w14:paraId="0A4CEEE6">
      <w:pPr>
        <w:spacing w:line="240" w:lineRule="auto"/>
        <w:ind w:firstLine="210" w:firstLineChars="100"/>
        <w:rPr>
          <w:rFonts w:ascii="宋体" w:hAnsi="宋体" w:cs="宋体"/>
        </w:rPr>
      </w:pPr>
      <w:r>
        <w:rPr>
          <w:rFonts w:hint="eastAsia" w:ascii="黑体" w:hAnsi="黑体" w:eastAsia="黑体" w:cs="黑体"/>
        </w:rPr>
        <w:t>1</w:t>
      </w:r>
      <w:r>
        <w:rPr>
          <w:rFonts w:hint="eastAsia" w:ascii="宋体" w:hAnsi="宋体" w:cs="宋体"/>
        </w:rPr>
        <w:t xml:space="preserve">  单车道宽度不应小于 3.0m，兼作消防车道时不应小于4.0m。</w:t>
      </w:r>
    </w:p>
    <w:p w14:paraId="4B56337A">
      <w:pPr>
        <w:spacing w:line="240" w:lineRule="auto"/>
        <w:ind w:firstLine="210" w:firstLineChars="100"/>
        <w:rPr>
          <w:rFonts w:ascii="宋体" w:hAnsi="宋体" w:cs="宋体"/>
        </w:rPr>
      </w:pPr>
      <w:r>
        <w:rPr>
          <w:rFonts w:hint="eastAsia" w:ascii="黑体" w:hAnsi="黑体" w:eastAsia="黑体" w:cs="黑体"/>
        </w:rPr>
        <w:t>2</w:t>
      </w:r>
      <w:r>
        <w:rPr>
          <w:rFonts w:hint="eastAsia" w:ascii="宋体" w:hAnsi="宋体" w:cs="宋体"/>
        </w:rPr>
        <w:t xml:space="preserve">  双车道宽度不应小于6.0m。</w:t>
      </w:r>
    </w:p>
    <w:p w14:paraId="2A4CC71D">
      <w:pPr>
        <w:spacing w:line="240" w:lineRule="auto"/>
        <w:ind w:firstLine="210" w:firstLineChars="100"/>
        <w:rPr>
          <w:rFonts w:ascii="宋体" w:hAnsi="宋体" w:cs="宋体"/>
        </w:rPr>
      </w:pPr>
      <w:r>
        <w:rPr>
          <w:rFonts w:hint="eastAsia" w:ascii="黑体" w:hAnsi="黑体" w:eastAsia="黑体" w:cs="黑体"/>
        </w:rPr>
        <w:t>3</w:t>
      </w:r>
      <w:r>
        <w:rPr>
          <w:rFonts w:hint="eastAsia" w:ascii="宋体" w:hAnsi="宋体" w:cs="宋体"/>
        </w:rPr>
        <w:t xml:space="preserve">  尽端式道路长度大于120m时，应设置回车场地。</w:t>
      </w:r>
    </w:p>
    <w:p w14:paraId="5E40A138">
      <w:pPr>
        <w:pStyle w:val="108"/>
        <w:numPr>
          <w:ilvl w:val="2"/>
          <w:numId w:val="32"/>
        </w:numPr>
        <w:spacing w:before="0" w:beforeLines="0" w:after="0" w:afterLines="0"/>
        <w:outlineLvl w:val="9"/>
        <w:rPr>
          <w:rFonts w:ascii="宋体" w:hAnsi="宋体" w:eastAsia="宋体" w:cs="宋体"/>
          <w:b/>
          <w:bCs/>
          <w:szCs w:val="21"/>
        </w:rPr>
      </w:pPr>
      <w:r>
        <w:rPr>
          <w:rFonts w:hint="eastAsia" w:ascii="宋体" w:hAnsi="宋体" w:eastAsia="宋体" w:cs="宋体"/>
          <w:szCs w:val="21"/>
        </w:rPr>
        <w:t>总平面应保证基地内有车辆环通道路或回转场地，并符合机动车流与上下客点及停车场（库）之间交通组织的要求。</w:t>
      </w:r>
    </w:p>
    <w:p w14:paraId="77B76551">
      <w:pPr>
        <w:pStyle w:val="108"/>
        <w:numPr>
          <w:ilvl w:val="2"/>
          <w:numId w:val="32"/>
        </w:numPr>
        <w:spacing w:before="0" w:beforeLines="0" w:after="0" w:afterLines="0"/>
        <w:outlineLvl w:val="9"/>
        <w:rPr>
          <w:rFonts w:ascii="宋体" w:hAnsi="宋体" w:eastAsia="宋体" w:cs="宋体"/>
          <w:b/>
          <w:bCs/>
          <w:sz w:val="28"/>
          <w:szCs w:val="28"/>
        </w:rPr>
      </w:pPr>
      <w:r>
        <w:rPr>
          <w:rFonts w:hint="eastAsia" w:ascii="宋体" w:hAnsi="宋体" w:eastAsia="宋体" w:cs="宋体"/>
          <w:szCs w:val="21"/>
        </w:rPr>
        <w:t>公共停车场（库）内的机动车区与非机动车停车区应分开设置，在同一车库同一平面设置的机动车停车区与非机停车区应采用防火分隔设施将其隔离。</w:t>
      </w:r>
    </w:p>
    <w:p w14:paraId="1D7D89DF">
      <w:pPr>
        <w:pStyle w:val="108"/>
        <w:spacing w:before="312" w:after="312"/>
      </w:pPr>
      <w:r>
        <w:rPr>
          <w:rFonts w:hint="eastAsia"/>
        </w:rPr>
        <w:t>公共停车场（库）</w:t>
      </w:r>
    </w:p>
    <w:p w14:paraId="239FD5C6">
      <w:pPr>
        <w:pStyle w:val="108"/>
        <w:numPr>
          <w:ilvl w:val="2"/>
          <w:numId w:val="32"/>
        </w:numPr>
        <w:spacing w:before="312" w:after="312"/>
        <w:outlineLvl w:val="1"/>
      </w:pPr>
      <w:r>
        <w:rPr>
          <w:rFonts w:hint="eastAsia" w:hAnsi="黑体" w:cs="黑体"/>
          <w:szCs w:val="21"/>
          <w:lang w:bidi="ar"/>
        </w:rPr>
        <w:t>机动车停车场（库）</w:t>
      </w:r>
    </w:p>
    <w:p w14:paraId="748EB72C">
      <w:pPr>
        <w:pStyle w:val="108"/>
        <w:numPr>
          <w:ilvl w:val="3"/>
          <w:numId w:val="34"/>
        </w:numPr>
        <w:spacing w:before="0" w:beforeLines="0" w:after="312"/>
        <w:outlineLvl w:val="2"/>
      </w:pPr>
      <w:r>
        <w:rPr>
          <w:rFonts w:hint="eastAsia" w:hAnsi="黑体" w:cs="黑体"/>
          <w:szCs w:val="21"/>
          <w:lang w:bidi="ar"/>
        </w:rPr>
        <w:t>一般规定</w:t>
      </w:r>
    </w:p>
    <w:p w14:paraId="0786C759">
      <w:pPr>
        <w:pStyle w:val="108"/>
        <w:numPr>
          <w:ilvl w:val="4"/>
          <w:numId w:val="34"/>
        </w:numPr>
        <w:spacing w:before="0" w:beforeLines="0" w:after="0" w:afterLines="0"/>
        <w:outlineLvl w:val="9"/>
        <w:rPr>
          <w:rFonts w:ascii="宋体" w:hAnsi="宋体" w:eastAsia="宋体" w:cs="宋体"/>
          <w:color w:val="000000"/>
        </w:rPr>
      </w:pPr>
      <w:r>
        <w:rPr>
          <w:rFonts w:hint="eastAsia" w:ascii="宋体" w:hAnsi="宋体" w:eastAsia="宋体" w:cs="宋体"/>
          <w:color w:val="000000"/>
        </w:rPr>
        <w:t>公共机动车停车场（库）</w:t>
      </w:r>
      <w:r>
        <w:rPr>
          <w:rFonts w:hint="eastAsia" w:ascii="宋体" w:hAnsi="宋体" w:eastAsia="宋体" w:cs="宋体"/>
        </w:rPr>
        <w:t>应</w:t>
      </w:r>
      <w:r>
        <w:rPr>
          <w:rFonts w:hint="eastAsia" w:ascii="宋体" w:hAnsi="宋体" w:eastAsia="宋体" w:cs="宋体"/>
          <w:color w:val="000000"/>
        </w:rPr>
        <w:t>划分新能源汽车专用停车区域，并设置专用标识，条件允许时，可设置新能源汽车专用车道。大型公共建筑物配建停车场、社会公共停车场新能源汽车专用停车位设置比例不宜低于15%。</w:t>
      </w:r>
    </w:p>
    <w:p w14:paraId="3C9F42F2">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color w:val="auto"/>
          <w:highlight w:val="none"/>
        </w:rPr>
        <w:t>公共机动车停车场（库）的</w:t>
      </w:r>
      <w:r>
        <w:rPr>
          <w:rFonts w:hint="eastAsia" w:ascii="宋体" w:hAnsi="宋体" w:eastAsia="宋体" w:cs="宋体"/>
          <w:highlight w:val="none"/>
        </w:rPr>
        <w:t>组成部分</w:t>
      </w:r>
      <w:r>
        <w:rPr>
          <w:rFonts w:hint="eastAsia" w:ascii="宋体" w:hAnsi="宋体" w:eastAsia="宋体" w:cs="宋体"/>
        </w:rPr>
        <w:t>主要包括：出入口、车行通道、停车位、交通设施、照明系统、智慧系统、消防系统、排水系统、绿化、浇灌系统等。</w:t>
      </w:r>
    </w:p>
    <w:p w14:paraId="27740DF6">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建筑物配建的机动车停车场（库）的设计要求，应按国家行业标准《车库建筑设计规范》JGJ 100与</w:t>
      </w:r>
      <w:r>
        <w:rPr>
          <w:rFonts w:hint="eastAsia" w:ascii="宋体" w:hAnsi="宋体" w:eastAsia="宋体" w:cs="宋体"/>
          <w:kern w:val="2"/>
          <w:szCs w:val="21"/>
          <w:lang w:bidi="ar"/>
        </w:rPr>
        <w:t>《汽车库、修车库、停车场设计防火规范》GB 50067</w:t>
      </w:r>
      <w:r>
        <w:rPr>
          <w:rFonts w:hint="eastAsia" w:ascii="宋体" w:hAnsi="宋体" w:eastAsia="宋体" w:cs="宋体"/>
        </w:rPr>
        <w:t>的有关规定执行，且基地内车速不宜大于10km/h，道路应采用工程措施限制车速，并设置限速标志。</w:t>
      </w:r>
    </w:p>
    <w:p w14:paraId="40D6E2B8">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大型</w:t>
      </w:r>
      <w:r>
        <w:rPr>
          <w:rFonts w:hint="eastAsia" w:ascii="宋体" w:hAnsi="宋体" w:eastAsia="宋体" w:cs="宋体"/>
          <w:highlight w:val="none"/>
        </w:rPr>
        <w:t>机动车</w:t>
      </w:r>
      <w:r>
        <w:rPr>
          <w:rFonts w:hint="eastAsia" w:ascii="宋体" w:hAnsi="宋体" w:eastAsia="宋体" w:cs="宋体"/>
        </w:rPr>
        <w:t>停车泊位不宜设置在地下停车库或地上多层停车库二层及以上，对于综合交通枢纽、公交停保场、工业等建筑工程确需设置的，应严格按国家有关规范设计。大、中型</w:t>
      </w:r>
      <w:r>
        <w:rPr>
          <w:rFonts w:hint="eastAsia" w:ascii="宋体" w:hAnsi="宋体" w:eastAsia="宋体" w:cs="宋体"/>
          <w:color w:val="auto"/>
          <w:highlight w:val="none"/>
        </w:rPr>
        <w:t>机动车</w:t>
      </w:r>
      <w:r>
        <w:rPr>
          <w:rFonts w:hint="eastAsia" w:ascii="宋体" w:hAnsi="宋体" w:eastAsia="宋体" w:cs="宋体"/>
        </w:rPr>
        <w:t>进出地下车库或地上停车库二层及以上时，其坡道应采用直线型。</w:t>
      </w:r>
    </w:p>
    <w:p w14:paraId="316FB637">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color w:val="000000"/>
        </w:rPr>
        <w:t>地面机动车停车场标准停放面积宜采用25㎡~30㎡，地下机动车停车库与地上机动车停车楼标准车停放建筑面积宜根据车库规模大小去区分控制小型车库（停车≤50辆）单车指标宜采用32㎡~38㎡，中型车库（51~300辆）单车指标宜采用30㎡~36㎡，大型车库（301~1000辆）单车指标宜采用28㎡~33㎡，特大型车库（停车大于1000辆）单车指标宜采用28㎡~32㎡</w:t>
      </w:r>
      <w:r>
        <w:rPr>
          <w:rFonts w:hint="eastAsia" w:ascii="宋体" w:hAnsi="宋体" w:eastAsia="宋体" w:cs="宋体"/>
        </w:rPr>
        <w:t>。</w:t>
      </w:r>
    </w:p>
    <w:p w14:paraId="2B8D45CD">
      <w:pPr>
        <w:pStyle w:val="108"/>
        <w:numPr>
          <w:ilvl w:val="4"/>
          <w:numId w:val="34"/>
        </w:numPr>
        <w:spacing w:before="0" w:beforeLines="0" w:after="0" w:afterLines="0"/>
        <w:outlineLvl w:val="9"/>
        <w:rPr>
          <w:rFonts w:ascii="宋体" w:hAnsi="宋体" w:eastAsia="宋体" w:cs="宋体"/>
          <w:color w:val="auto"/>
          <w:highlight w:val="none"/>
        </w:rPr>
      </w:pPr>
      <w:r>
        <w:rPr>
          <w:rFonts w:hint="eastAsia" w:ascii="宋体" w:hAnsi="宋体" w:eastAsia="宋体" w:cs="宋体"/>
          <w:color w:val="auto"/>
          <w:highlight w:val="none"/>
        </w:rPr>
        <w:t>应合理开发利用地下室，结合场地条件合理采用机械式停车设施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地下停车库或地面停车楼等方式，并符合以下要求：</w:t>
      </w:r>
    </w:p>
    <w:p w14:paraId="2F6571D2">
      <w:pPr>
        <w:spacing w:line="240" w:lineRule="auto"/>
        <w:ind w:firstLine="630" w:firstLineChars="300"/>
        <w:rPr>
          <w:rFonts w:ascii="宋体" w:hAnsi="宋体" w:cs="宋体"/>
          <w:color w:val="auto"/>
          <w:highlight w:val="none"/>
        </w:rPr>
      </w:pPr>
      <w:r>
        <w:rPr>
          <w:rFonts w:hint="eastAsia" w:ascii="黑体" w:hAnsi="黑体" w:eastAsia="黑体" w:cs="黑体"/>
          <w:color w:val="auto"/>
          <w:highlight w:val="none"/>
        </w:rPr>
        <w:t>1</w:t>
      </w:r>
      <w:r>
        <w:rPr>
          <w:rFonts w:hint="eastAsia" w:ascii="宋体" w:hAnsi="宋体" w:cs="宋体"/>
          <w:color w:val="auto"/>
          <w:highlight w:val="none"/>
        </w:rPr>
        <w:t xml:space="preserve">  住宅建筑地面停车位数量与住宅总套数的比例小于10%</w:t>
      </w:r>
    </w:p>
    <w:p w14:paraId="1F96B81F">
      <w:pPr>
        <w:spacing w:line="240" w:lineRule="auto"/>
        <w:ind w:firstLine="630" w:firstLineChars="300"/>
        <w:rPr>
          <w:rFonts w:ascii="宋体" w:hAnsi="宋体" w:cs="宋体"/>
          <w:color w:val="auto"/>
          <w:highlight w:val="none"/>
        </w:rPr>
      </w:pPr>
      <w:r>
        <w:rPr>
          <w:rFonts w:hint="eastAsia" w:ascii="黑体" w:hAnsi="黑体" w:eastAsia="黑体" w:cs="黑体"/>
          <w:color w:val="auto"/>
          <w:highlight w:val="none"/>
        </w:rPr>
        <w:t>2</w:t>
      </w:r>
      <w:r>
        <w:rPr>
          <w:rFonts w:hint="eastAsia" w:ascii="宋体" w:hAnsi="宋体" w:cs="宋体"/>
          <w:color w:val="auto"/>
          <w:highlight w:val="none"/>
        </w:rPr>
        <w:t xml:space="preserve">  公共建筑地面停车占地面积与其总建设用地面积的比例小于8%。</w:t>
      </w:r>
    </w:p>
    <w:p w14:paraId="53D45005">
      <w:pPr>
        <w:pStyle w:val="108"/>
        <w:numPr>
          <w:ilvl w:val="3"/>
          <w:numId w:val="34"/>
        </w:numPr>
        <w:spacing w:before="312" w:after="312"/>
        <w:outlineLvl w:val="2"/>
        <w:rPr>
          <w:rFonts w:ascii="宋体" w:hAnsi="宋体" w:cs="宋体"/>
        </w:rPr>
      </w:pPr>
      <w:r>
        <w:rPr>
          <w:rFonts w:hint="eastAsia"/>
        </w:rPr>
        <w:t>出入口及坡道</w:t>
      </w:r>
    </w:p>
    <w:p w14:paraId="1A0B11B2">
      <w:pPr>
        <w:pStyle w:val="108"/>
        <w:numPr>
          <w:ilvl w:val="4"/>
          <w:numId w:val="34"/>
        </w:numPr>
        <w:spacing w:before="312" w:after="0" w:afterLines="0"/>
        <w:outlineLvl w:val="9"/>
        <w:rPr>
          <w:rFonts w:ascii="宋体" w:hAnsi="宋体" w:eastAsia="宋体" w:cs="宋体"/>
        </w:rPr>
      </w:pPr>
      <w:r>
        <w:rPr>
          <w:rFonts w:hint="eastAsia" w:ascii="宋体" w:hAnsi="宋体" w:eastAsia="宋体" w:cs="宋体"/>
        </w:rPr>
        <w:t>按出入方式，机动车停车库出入口可分为平入式、坡道式、升降梯式三种类型。</w:t>
      </w:r>
    </w:p>
    <w:p w14:paraId="6F15B21A">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平入式出入口应符合下列规定：</w:t>
      </w:r>
    </w:p>
    <w:p w14:paraId="6BB6C70D">
      <w:pPr>
        <w:spacing w:line="240" w:lineRule="auto"/>
        <w:ind w:firstLine="630" w:firstLineChars="300"/>
        <w:rPr>
          <w:rFonts w:ascii="宋体" w:hAnsi="宋体" w:cs="宋体"/>
        </w:rPr>
      </w:pPr>
      <w:r>
        <w:rPr>
          <w:rFonts w:hint="eastAsia" w:ascii="黑体" w:hAnsi="黑体" w:eastAsia="黑体" w:cs="黑体"/>
        </w:rPr>
        <w:t>1</w:t>
      </w:r>
      <w:r>
        <w:rPr>
          <w:rFonts w:hint="eastAsia" w:ascii="宋体" w:hAnsi="宋体" w:cs="宋体"/>
        </w:rPr>
        <w:t xml:space="preserve">  平入式出入口室内外地坪高差不应小于150mm，且不宜大于300mm；</w:t>
      </w:r>
      <w:r>
        <w:rPr>
          <w:rFonts w:ascii="宋体" w:hAnsi="宋体" w:cs="宋体"/>
        </w:rPr>
        <w:t>车库坡道出入口处标高宜比周边市政场地最低点高0.2m以上。</w:t>
      </w:r>
    </w:p>
    <w:p w14:paraId="62AC094E">
      <w:pPr>
        <w:spacing w:line="240" w:lineRule="auto"/>
        <w:ind w:firstLine="630" w:firstLineChars="300"/>
        <w:rPr>
          <w:rFonts w:ascii="宋体" w:hAnsi="宋体" w:cs="宋体"/>
        </w:rPr>
      </w:pPr>
      <w:r>
        <w:rPr>
          <w:rFonts w:hint="eastAsia" w:ascii="黑体" w:hAnsi="黑体" w:eastAsia="黑体" w:cs="黑体"/>
        </w:rPr>
        <w:t>2</w:t>
      </w:r>
      <w:r>
        <w:rPr>
          <w:rFonts w:hint="eastAsia" w:ascii="宋体" w:hAnsi="宋体" w:cs="宋体"/>
        </w:rPr>
        <w:t xml:space="preserve">  平入式出入口室外坡道起坡点与相连的室外车行道路最小距离</w:t>
      </w:r>
      <w:r>
        <w:rPr>
          <w:rFonts w:ascii="宋体" w:hAnsi="宋体" w:cs="宋体"/>
        </w:rPr>
        <w:t>应满足以下要求:</w:t>
      </w:r>
    </w:p>
    <w:p w14:paraId="4B145B3E">
      <w:pPr>
        <w:spacing w:line="360" w:lineRule="auto"/>
        <w:ind w:firstLine="630" w:firstLineChars="300"/>
        <w:rPr>
          <w:rFonts w:ascii="宋体" w:hAnsi="宋体" w:cs="宋体"/>
        </w:rPr>
      </w:pPr>
      <w:r>
        <w:rPr>
          <w:rFonts w:ascii="宋体" w:hAnsi="宋体" w:cs="宋体"/>
        </w:rPr>
        <w:drawing>
          <wp:inline distT="0" distB="0" distL="114300" distR="114300">
            <wp:extent cx="5071110" cy="3177540"/>
            <wp:effectExtent l="0" t="0" r="15240" b="3810"/>
            <wp:docPr id="37" name="图片 37" descr="/tmp/webword_2665660338/upload_post_object_v2_177227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tmp/webword_2665660338/upload_post_object_v2_1772276824"/>
                    <pic:cNvPicPr>
                      <a:picLocks noChangeAspect="1"/>
                    </pic:cNvPicPr>
                  </pic:nvPicPr>
                  <pic:blipFill>
                    <a:blip r:embed="rId18"/>
                    <a:srcRect/>
                    <a:stretch>
                      <a:fillRect/>
                    </a:stretch>
                  </pic:blipFill>
                  <pic:spPr>
                    <a:xfrm>
                      <a:off x="0" y="0"/>
                      <a:ext cx="5071110" cy="3177540"/>
                    </a:xfrm>
                    <a:prstGeom prst="rect">
                      <a:avLst/>
                    </a:prstGeom>
                  </pic:spPr>
                </pic:pic>
              </a:graphicData>
            </a:graphic>
          </wp:inline>
        </w:drawing>
      </w:r>
    </w:p>
    <w:p w14:paraId="19BD6D04">
      <w:pPr>
        <w:spacing w:line="240" w:lineRule="auto"/>
        <w:ind w:firstLine="630" w:firstLineChars="300"/>
        <w:rPr>
          <w:rFonts w:ascii="宋体" w:hAnsi="宋体" w:cs="宋体"/>
        </w:rPr>
      </w:pPr>
      <w:r>
        <w:rPr>
          <w:rFonts w:hint="eastAsia" w:ascii="黑体" w:hAnsi="黑体" w:eastAsia="黑体" w:cs="黑体"/>
        </w:rPr>
        <w:t xml:space="preserve">3 </w:t>
      </w:r>
      <w:r>
        <w:rPr>
          <w:rFonts w:hint="eastAsia" w:ascii="宋体" w:hAnsi="宋体" w:cs="宋体"/>
        </w:rPr>
        <w:t xml:space="preserve"> 平入式出入口的上部</w:t>
      </w:r>
      <w:r>
        <w:rPr>
          <w:rFonts w:hint="eastAsia" w:ascii="宋体" w:hAnsi="宋体" w:cs="宋体"/>
          <w:lang w:bidi="ar"/>
        </w:rPr>
        <w:t>应设置防雨、防坠落和防止雨水倒灌至地下车库设施</w:t>
      </w:r>
      <w:r>
        <w:rPr>
          <w:rFonts w:hint="eastAsia" w:ascii="宋体" w:hAnsi="宋体" w:cs="宋体"/>
        </w:rPr>
        <w:t>；</w:t>
      </w:r>
    </w:p>
    <w:p w14:paraId="797D013B">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坡道式出入口可采用直线坡道、曲线坡道和直线与曲线组合坡道，坡道宽度与坡度与坡道形式有关，具体要求详《车库建筑设计规范》JGJ 100；</w:t>
      </w:r>
    </w:p>
    <w:p w14:paraId="3BFB287F">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升降梯式出入口因设置较为复杂成本较高，且使用不方便，在条件允许情况下尽量不采用，具体要求详《车库建筑设计规范》JGJ 100；</w:t>
      </w:r>
    </w:p>
    <w:p w14:paraId="7F564477">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地下车库的坡道须注意防滑、防噪音、防剧烈震动</w:t>
      </w:r>
      <w:r>
        <w:rPr>
          <w:rFonts w:hint="eastAsia" w:ascii="宋体" w:hAnsi="宋体" w:eastAsia="宋体" w:cs="宋体"/>
          <w:lang w:eastAsia="zh-CN"/>
        </w:rPr>
        <w:t>，</w:t>
      </w:r>
      <w:r>
        <w:rPr>
          <w:rFonts w:hint="eastAsia" w:ascii="宋体" w:hAnsi="宋体" w:eastAsia="宋体" w:cs="宋体"/>
        </w:rPr>
        <w:t>不宜采用锯齿状的礓磋做法。</w:t>
      </w:r>
    </w:p>
    <w:p w14:paraId="7992D35A">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城市公共停车场的出口与入口宜分开设置，单向行驶的出（入）口宽度不</w:t>
      </w:r>
      <w:r>
        <w:rPr>
          <w:rFonts w:hint="eastAsia" w:ascii="宋体" w:hAnsi="宋体" w:eastAsia="宋体" w:cs="宋体"/>
          <w:lang w:val="en-US" w:eastAsia="zh-CN"/>
        </w:rPr>
        <w:t>应</w:t>
      </w:r>
      <w:r>
        <w:rPr>
          <w:rFonts w:hint="eastAsia" w:ascii="宋体" w:hAnsi="宋体" w:eastAsia="宋体" w:cs="宋体"/>
        </w:rPr>
        <w:t>小于5m，双向行驶的出（入）口宽度不</w:t>
      </w:r>
      <w:r>
        <w:rPr>
          <w:rFonts w:hint="eastAsia" w:ascii="宋体" w:hAnsi="宋体" w:eastAsia="宋体" w:cs="宋体"/>
          <w:lang w:val="en-US" w:eastAsia="zh-CN"/>
        </w:rPr>
        <w:t>应</w:t>
      </w:r>
      <w:r>
        <w:rPr>
          <w:rFonts w:hint="eastAsia" w:ascii="宋体" w:hAnsi="宋体" w:eastAsia="宋体" w:cs="宋体"/>
        </w:rPr>
        <w:t>小于7m。小型停车场只有一个出入口时，宽度不</w:t>
      </w:r>
      <w:r>
        <w:rPr>
          <w:rFonts w:hint="eastAsia" w:ascii="宋体" w:hAnsi="宋体" w:eastAsia="宋体" w:cs="宋体"/>
          <w:lang w:val="en-US" w:eastAsia="zh-CN"/>
        </w:rPr>
        <w:t>应</w:t>
      </w:r>
      <w:r>
        <w:rPr>
          <w:rFonts w:hint="eastAsia" w:ascii="宋体" w:hAnsi="宋体" w:eastAsia="宋体" w:cs="宋体"/>
        </w:rPr>
        <w:t>小于9m，且两个出入口之间的净距不小于15m。</w:t>
      </w:r>
    </w:p>
    <w:p w14:paraId="0D1B333D">
      <w:pPr>
        <w:pStyle w:val="108"/>
        <w:numPr>
          <w:ilvl w:val="3"/>
          <w:numId w:val="34"/>
        </w:numPr>
        <w:spacing w:before="312" w:after="312"/>
        <w:outlineLvl w:val="2"/>
        <w:rPr>
          <w:rFonts w:ascii="宋体" w:hAnsi="宋体" w:cs="宋体"/>
        </w:rPr>
      </w:pPr>
      <w:r>
        <w:rPr>
          <w:rFonts w:hint="eastAsia"/>
        </w:rPr>
        <w:t>停车区域</w:t>
      </w:r>
    </w:p>
    <w:p w14:paraId="3C2769C9">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公共机动车停车场（库）的停车方式，应以“占地面积小、疏散方便、保证安全”为原则，并应满足一次进出停车位的要求。停车方式主要有平行式、斜列式和垂直式三种，或混合采用此三种停车方式，机动车最小停车位、通（停）车道宽度可通过计算或者作图法求得，具体以《车库建筑设计规范》JGJ 100规范4.3要求为准，且库内通车道宽度大于或等于3.0m，微型车和小型车的环形通车道最小内半径不得小于3.0m，停车区域净高不应小于2.2m。</w:t>
      </w:r>
    </w:p>
    <w:p w14:paraId="12045ACE">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当机动车停车库内设有修理车位时，应集中布置，且应符合现行国家标准《汽车库、修车库、停车场设计防火规范》GB 50067 的相关规定。</w:t>
      </w:r>
    </w:p>
    <w:p w14:paraId="5FEC78BC">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建设项目配建车库停车位设计和建设应符合以下规定：</w:t>
      </w:r>
    </w:p>
    <w:p w14:paraId="7816EFB3">
      <w:pPr>
        <w:spacing w:line="240" w:lineRule="auto"/>
        <w:ind w:firstLine="630" w:firstLineChars="300"/>
        <w:rPr>
          <w:rFonts w:ascii="宋体" w:hAnsi="宋体" w:cs="宋体"/>
        </w:rPr>
      </w:pPr>
      <w:r>
        <w:rPr>
          <w:rFonts w:hint="eastAsia" w:ascii="黑体" w:hAnsi="黑体" w:eastAsia="黑体" w:cs="黑体"/>
        </w:rPr>
        <w:t>1</w:t>
      </w:r>
      <w:r>
        <w:rPr>
          <w:rFonts w:hint="eastAsia" w:ascii="宋体" w:hAnsi="宋体" w:cs="宋体"/>
        </w:rPr>
        <w:t xml:space="preserve">  建设项目配建车库的关键尺寸设计应按《车库建筑设计规范》JGJ 100执行。关键尺寸指最小停车位、停车位、通道宽度；机动车与机动车、墙、柱、护栏之间最小间距及机动车与临近消火栓等设备或构筑物的最小间距。</w:t>
      </w:r>
    </w:p>
    <w:p w14:paraId="6C50E706">
      <w:pPr>
        <w:spacing w:line="240" w:lineRule="auto"/>
        <w:ind w:firstLine="630" w:firstLineChars="300"/>
        <w:rPr>
          <w:rFonts w:ascii="宋体" w:hAnsi="宋体" w:cs="宋体"/>
        </w:rPr>
      </w:pPr>
      <w:r>
        <w:rPr>
          <w:rFonts w:hint="eastAsia" w:ascii="黑体" w:hAnsi="黑体" w:eastAsia="黑体" w:cs="黑体"/>
        </w:rPr>
        <w:t>2</w:t>
      </w:r>
      <w:r>
        <w:rPr>
          <w:rFonts w:hint="eastAsia" w:ascii="宋体" w:hAnsi="宋体" w:cs="宋体"/>
        </w:rPr>
        <w:t xml:space="preserve">  距小型车停车位前端长度1.2~3.9米范围内，车位左侧存在影响开门的障碍物（柱、墙、消火栓箱等）时，障碍物距车位左侧边线的最小间距不应小于0.3米。</w:t>
      </w:r>
    </w:p>
    <w:p w14:paraId="15C1CE9F">
      <w:pPr>
        <w:spacing w:line="240" w:lineRule="auto"/>
        <w:ind w:firstLine="630" w:firstLineChars="300"/>
        <w:rPr>
          <w:rFonts w:ascii="宋体" w:hAnsi="宋体" w:cs="宋体"/>
        </w:rPr>
      </w:pPr>
      <w:r>
        <w:rPr>
          <w:rFonts w:hint="eastAsia" w:ascii="黑体" w:hAnsi="黑体" w:eastAsia="黑体" w:cs="黑体"/>
        </w:rPr>
        <w:t>3</w:t>
      </w:r>
      <w:r>
        <w:rPr>
          <w:rFonts w:hint="eastAsia" w:ascii="宋体" w:hAnsi="宋体" w:cs="宋体"/>
        </w:rPr>
        <w:t xml:space="preserve">  距微型车停车位前端长度1.0~3.5米范围内，车位左侧存在影响开门的障碍物（柱、墙、消火栓箱等）时，障碍物距车位左侧边线的最小间距不应小于0.3米。</w:t>
      </w:r>
    </w:p>
    <w:p w14:paraId="49E7DF48">
      <w:pPr>
        <w:spacing w:line="360" w:lineRule="auto"/>
        <w:ind w:firstLine="540" w:firstLineChars="300"/>
        <w:rPr>
          <w:rFonts w:ascii="宋体" w:hAnsi="宋体" w:cs="宋体"/>
        </w:rPr>
      </w:pPr>
      <w:r>
        <w:rPr>
          <w:rFonts w:hint="eastAsia" w:ascii="宋体" w:hAnsi="宋体" w:cs="宋体"/>
          <w:sz w:val="18"/>
          <w:szCs w:val="18"/>
        </w:rPr>
        <w:drawing>
          <wp:inline distT="0" distB="0" distL="114300" distR="114300">
            <wp:extent cx="3228975" cy="1863090"/>
            <wp:effectExtent l="0" t="0" r="9525"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9"/>
                    <a:stretch>
                      <a:fillRect/>
                    </a:stretch>
                  </pic:blipFill>
                  <pic:spPr>
                    <a:xfrm>
                      <a:off x="0" y="0"/>
                      <a:ext cx="3228975" cy="1863090"/>
                    </a:xfrm>
                    <a:prstGeom prst="rect">
                      <a:avLst/>
                    </a:prstGeom>
                  </pic:spPr>
                </pic:pic>
              </a:graphicData>
            </a:graphic>
          </wp:inline>
        </w:drawing>
      </w:r>
    </w:p>
    <w:p w14:paraId="5CEF43C2">
      <w:pPr>
        <w:spacing w:line="240" w:lineRule="auto"/>
        <w:ind w:firstLine="630" w:firstLineChars="300"/>
        <w:rPr>
          <w:rFonts w:ascii="宋体" w:hAnsi="宋体" w:cs="宋体"/>
        </w:rPr>
      </w:pPr>
      <w:r>
        <w:rPr>
          <w:rFonts w:hint="eastAsia" w:ascii="黑体" w:hAnsi="黑体" w:eastAsia="黑体" w:cs="黑体"/>
        </w:rPr>
        <w:t>4</w:t>
      </w:r>
      <w:r>
        <w:rPr>
          <w:rFonts w:hint="eastAsia" w:ascii="宋体" w:hAnsi="宋体" w:cs="宋体"/>
        </w:rPr>
        <w:t xml:space="preserve">  用于销售的车位，当障碍物位于车位右侧时，建议宜按左侧标准控制。</w:t>
      </w:r>
    </w:p>
    <w:p w14:paraId="1217FD54">
      <w:pPr>
        <w:spacing w:line="240" w:lineRule="auto"/>
        <w:ind w:firstLine="630" w:firstLineChars="300"/>
        <w:rPr>
          <w:rFonts w:ascii="宋体" w:hAnsi="宋体" w:cs="宋体"/>
        </w:rPr>
      </w:pPr>
      <w:r>
        <w:rPr>
          <w:rFonts w:hint="eastAsia" w:ascii="黑体" w:hAnsi="黑体" w:eastAsia="黑体" w:cs="黑体"/>
        </w:rPr>
        <w:t>5</w:t>
      </w:r>
      <w:r>
        <w:rPr>
          <w:rFonts w:hint="eastAsia" w:ascii="宋体" w:hAnsi="宋体" w:cs="宋体"/>
        </w:rPr>
        <w:t xml:space="preserve">  地下室车位划线范围内不能有任何突出进入车位范围的消防管、污水管、消火栓等任何构筑物，消火栓箱门不宜面向汽车。</w:t>
      </w:r>
    </w:p>
    <w:p w14:paraId="1CB6D974">
      <w:pPr>
        <w:pStyle w:val="108"/>
        <w:numPr>
          <w:ilvl w:val="4"/>
          <w:numId w:val="34"/>
        </w:numPr>
        <w:spacing w:before="0" w:beforeLines="0" w:after="0" w:afterLines="0"/>
        <w:outlineLvl w:val="9"/>
        <w:rPr>
          <w:rFonts w:ascii="宋体" w:hAnsi="宋体" w:eastAsia="宋体" w:cs="宋体"/>
          <w:szCs w:val="21"/>
        </w:rPr>
      </w:pPr>
      <w:r>
        <w:rPr>
          <w:rFonts w:hint="eastAsia" w:ascii="宋体" w:hAnsi="宋体" w:eastAsia="宋体" w:cs="宋体"/>
          <w:szCs w:val="21"/>
        </w:rPr>
        <w:t>公共机动车停车场（库）内车辆与车辆之间、车辆与其它物体之间的纵、横向净距不应小于下表的规定：</w:t>
      </w:r>
    </w:p>
    <w:p w14:paraId="36AA9833">
      <w:pPr>
        <w:spacing w:line="240" w:lineRule="auto"/>
        <w:rPr>
          <w:rFonts w:ascii="宋体" w:hAnsi="宋体" w:cs="宋体"/>
        </w:rPr>
      </w:pPr>
      <w:r>
        <w:rPr>
          <w:rFonts w:hint="eastAsia" w:ascii="宋体" w:hAnsi="宋体" w:cs="宋体"/>
        </w:rPr>
        <w:t xml:space="preserve">                      汽车与汽车、墙、柱、护栏之间的最小净距（不含机械车位）</w:t>
      </w:r>
    </w:p>
    <w:tbl>
      <w:tblPr>
        <w:tblStyle w:val="30"/>
        <w:tblW w:w="9332"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9"/>
        <w:gridCol w:w="1391"/>
        <w:gridCol w:w="2107"/>
        <w:gridCol w:w="1495"/>
        <w:gridCol w:w="1830"/>
      </w:tblGrid>
      <w:tr w14:paraId="2343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900" w:type="dxa"/>
            <w:gridSpan w:val="2"/>
          </w:tcPr>
          <w:p w14:paraId="59ADDCD8">
            <w:pPr>
              <w:spacing w:line="240" w:lineRule="auto"/>
              <w:rPr>
                <w:rFonts w:ascii="宋体" w:hAnsi="宋体" w:cs="宋体"/>
              </w:rPr>
            </w:pPr>
            <w:r>
              <w:rPr>
                <w:rFonts w:hint="eastAsia" w:ascii="宋体" w:hAnsi="宋体" w:cs="宋体"/>
              </w:rPr>
              <w:t xml:space="preserve">      车辆类型</w:t>
            </w:r>
          </w:p>
          <w:p w14:paraId="48B15C8E">
            <w:pPr>
              <w:spacing w:line="240" w:lineRule="auto"/>
              <w:rPr>
                <w:rFonts w:ascii="宋体" w:hAnsi="宋体" w:cs="宋体"/>
              </w:rPr>
            </w:pPr>
            <w:r>
              <w:rPr>
                <w:rFonts w:hint="eastAsia" w:ascii="宋体" w:hAnsi="宋体" w:cs="宋体"/>
              </w:rPr>
              <w:t>项目</w:t>
            </w:r>
          </w:p>
        </w:tc>
        <w:tc>
          <w:tcPr>
            <w:tcW w:w="2107" w:type="dxa"/>
          </w:tcPr>
          <w:p w14:paraId="726347A4">
            <w:pPr>
              <w:spacing w:line="240" w:lineRule="auto"/>
              <w:rPr>
                <w:rFonts w:ascii="宋体" w:hAnsi="宋体" w:cs="宋体"/>
              </w:rPr>
            </w:pPr>
            <w:r>
              <w:rPr>
                <w:rFonts w:hint="eastAsia" w:ascii="宋体" w:hAnsi="宋体" w:cs="宋体"/>
              </w:rPr>
              <w:t>微型汽车和小型汽车</w:t>
            </w:r>
          </w:p>
        </w:tc>
        <w:tc>
          <w:tcPr>
            <w:tcW w:w="1495" w:type="dxa"/>
          </w:tcPr>
          <w:p w14:paraId="04A04BF4">
            <w:pPr>
              <w:spacing w:line="240" w:lineRule="auto"/>
              <w:rPr>
                <w:rFonts w:ascii="宋体" w:hAnsi="宋体" w:cs="宋体"/>
              </w:rPr>
            </w:pPr>
            <w:r>
              <w:rPr>
                <w:rFonts w:hint="eastAsia" w:ascii="宋体" w:hAnsi="宋体" w:cs="宋体"/>
              </w:rPr>
              <w:t>轻型车</w:t>
            </w:r>
          </w:p>
        </w:tc>
        <w:tc>
          <w:tcPr>
            <w:tcW w:w="1830" w:type="dxa"/>
          </w:tcPr>
          <w:p w14:paraId="4D7A83FE">
            <w:pPr>
              <w:spacing w:line="240" w:lineRule="auto"/>
              <w:rPr>
                <w:rFonts w:ascii="宋体" w:hAnsi="宋体" w:cs="宋体"/>
              </w:rPr>
            </w:pPr>
            <w:r>
              <w:rPr>
                <w:rFonts w:hint="eastAsia" w:ascii="宋体" w:hAnsi="宋体" w:cs="宋体"/>
              </w:rPr>
              <w:t>大、中型汽车</w:t>
            </w:r>
          </w:p>
        </w:tc>
      </w:tr>
      <w:tr w14:paraId="0E36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0" w:type="dxa"/>
            <w:gridSpan w:val="2"/>
          </w:tcPr>
          <w:p w14:paraId="0F5179A1">
            <w:pPr>
              <w:spacing w:line="240" w:lineRule="auto"/>
              <w:rPr>
                <w:rFonts w:ascii="宋体" w:hAnsi="宋体" w:cs="宋体"/>
              </w:rPr>
            </w:pPr>
            <w:r>
              <w:rPr>
                <w:rFonts w:hint="eastAsia" w:ascii="宋体" w:hAnsi="宋体" w:cs="宋体"/>
              </w:rPr>
              <w:t>平行式停车时车间纵向净距</w:t>
            </w:r>
          </w:p>
        </w:tc>
        <w:tc>
          <w:tcPr>
            <w:tcW w:w="2107" w:type="dxa"/>
          </w:tcPr>
          <w:p w14:paraId="4AD7E9AB">
            <w:pPr>
              <w:spacing w:line="240" w:lineRule="auto"/>
              <w:rPr>
                <w:rFonts w:ascii="宋体" w:hAnsi="宋体" w:cs="宋体"/>
              </w:rPr>
            </w:pPr>
            <w:r>
              <w:rPr>
                <w:rFonts w:hint="eastAsia" w:ascii="宋体" w:hAnsi="宋体" w:cs="宋体"/>
              </w:rPr>
              <w:t>1.2</w:t>
            </w:r>
          </w:p>
        </w:tc>
        <w:tc>
          <w:tcPr>
            <w:tcW w:w="1495" w:type="dxa"/>
          </w:tcPr>
          <w:p w14:paraId="191697E4">
            <w:pPr>
              <w:spacing w:line="240" w:lineRule="auto"/>
              <w:rPr>
                <w:rFonts w:ascii="宋体" w:hAnsi="宋体" w:cs="宋体"/>
              </w:rPr>
            </w:pPr>
            <w:r>
              <w:rPr>
                <w:rFonts w:hint="eastAsia" w:ascii="宋体" w:hAnsi="宋体" w:cs="宋体"/>
              </w:rPr>
              <w:t>1.2</w:t>
            </w:r>
          </w:p>
        </w:tc>
        <w:tc>
          <w:tcPr>
            <w:tcW w:w="1830" w:type="dxa"/>
          </w:tcPr>
          <w:p w14:paraId="44A6A6D0">
            <w:pPr>
              <w:spacing w:line="240" w:lineRule="auto"/>
              <w:rPr>
                <w:rFonts w:ascii="宋体" w:hAnsi="宋体" w:cs="宋体"/>
              </w:rPr>
            </w:pPr>
            <w:r>
              <w:rPr>
                <w:rFonts w:hint="eastAsia" w:ascii="宋体" w:hAnsi="宋体" w:cs="宋体"/>
              </w:rPr>
              <w:t>2.4</w:t>
            </w:r>
          </w:p>
        </w:tc>
      </w:tr>
      <w:tr w14:paraId="16D8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900" w:type="dxa"/>
            <w:gridSpan w:val="2"/>
          </w:tcPr>
          <w:p w14:paraId="61C09B4C">
            <w:pPr>
              <w:spacing w:line="240" w:lineRule="auto"/>
              <w:rPr>
                <w:rFonts w:ascii="宋体" w:hAnsi="宋体" w:cs="宋体"/>
              </w:rPr>
            </w:pPr>
            <w:r>
              <w:rPr>
                <w:rFonts w:hint="eastAsia" w:ascii="宋体" w:hAnsi="宋体" w:cs="宋体"/>
              </w:rPr>
              <w:t>垂直式、斜列式停车时机动车间纵向间距</w:t>
            </w:r>
          </w:p>
        </w:tc>
        <w:tc>
          <w:tcPr>
            <w:tcW w:w="2107" w:type="dxa"/>
          </w:tcPr>
          <w:p w14:paraId="52F3A77E">
            <w:pPr>
              <w:spacing w:line="240" w:lineRule="auto"/>
              <w:rPr>
                <w:rFonts w:ascii="宋体" w:hAnsi="宋体" w:cs="宋体"/>
              </w:rPr>
            </w:pPr>
            <w:r>
              <w:rPr>
                <w:rFonts w:hint="eastAsia" w:ascii="宋体" w:hAnsi="宋体" w:cs="宋体"/>
              </w:rPr>
              <w:t>0.5</w:t>
            </w:r>
          </w:p>
        </w:tc>
        <w:tc>
          <w:tcPr>
            <w:tcW w:w="1495" w:type="dxa"/>
          </w:tcPr>
          <w:p w14:paraId="21F26A3A">
            <w:pPr>
              <w:spacing w:line="240" w:lineRule="auto"/>
              <w:rPr>
                <w:rFonts w:ascii="宋体" w:hAnsi="宋体" w:cs="宋体"/>
              </w:rPr>
            </w:pPr>
            <w:r>
              <w:rPr>
                <w:rFonts w:hint="eastAsia" w:ascii="宋体" w:hAnsi="宋体" w:cs="宋体"/>
              </w:rPr>
              <w:t>0.7</w:t>
            </w:r>
          </w:p>
        </w:tc>
        <w:tc>
          <w:tcPr>
            <w:tcW w:w="1830" w:type="dxa"/>
          </w:tcPr>
          <w:p w14:paraId="686AD717">
            <w:pPr>
              <w:spacing w:line="240" w:lineRule="auto"/>
              <w:rPr>
                <w:rFonts w:ascii="宋体" w:hAnsi="宋体" w:cs="宋体"/>
              </w:rPr>
            </w:pPr>
            <w:r>
              <w:rPr>
                <w:rFonts w:hint="eastAsia" w:ascii="宋体" w:hAnsi="宋体" w:cs="宋体"/>
              </w:rPr>
              <w:t>0.8</w:t>
            </w:r>
          </w:p>
        </w:tc>
      </w:tr>
      <w:tr w14:paraId="61D8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0" w:type="dxa"/>
            <w:gridSpan w:val="2"/>
          </w:tcPr>
          <w:p w14:paraId="482F5DDC">
            <w:pPr>
              <w:spacing w:line="240" w:lineRule="auto"/>
              <w:rPr>
                <w:rFonts w:ascii="宋体" w:hAnsi="宋体" w:cs="宋体"/>
              </w:rPr>
            </w:pPr>
            <w:r>
              <w:rPr>
                <w:rFonts w:hint="eastAsia" w:ascii="宋体" w:hAnsi="宋体" w:cs="宋体"/>
              </w:rPr>
              <w:t>机动车间横向净距</w:t>
            </w:r>
          </w:p>
        </w:tc>
        <w:tc>
          <w:tcPr>
            <w:tcW w:w="2107" w:type="dxa"/>
          </w:tcPr>
          <w:p w14:paraId="048843E2">
            <w:pPr>
              <w:spacing w:line="240" w:lineRule="auto"/>
              <w:rPr>
                <w:rFonts w:ascii="宋体" w:hAnsi="宋体" w:cs="宋体"/>
              </w:rPr>
            </w:pPr>
            <w:r>
              <w:rPr>
                <w:rFonts w:hint="eastAsia" w:ascii="宋体" w:hAnsi="宋体" w:cs="宋体"/>
              </w:rPr>
              <w:t>0.6</w:t>
            </w:r>
          </w:p>
        </w:tc>
        <w:tc>
          <w:tcPr>
            <w:tcW w:w="1495" w:type="dxa"/>
          </w:tcPr>
          <w:p w14:paraId="062DD746">
            <w:pPr>
              <w:spacing w:line="240" w:lineRule="auto"/>
              <w:rPr>
                <w:rFonts w:ascii="宋体" w:hAnsi="宋体" w:cs="宋体"/>
              </w:rPr>
            </w:pPr>
            <w:r>
              <w:rPr>
                <w:rFonts w:hint="eastAsia" w:ascii="宋体" w:hAnsi="宋体" w:cs="宋体"/>
              </w:rPr>
              <w:t>0.8</w:t>
            </w:r>
          </w:p>
        </w:tc>
        <w:tc>
          <w:tcPr>
            <w:tcW w:w="1830" w:type="dxa"/>
          </w:tcPr>
          <w:p w14:paraId="14DE828D">
            <w:pPr>
              <w:spacing w:line="240" w:lineRule="auto"/>
              <w:rPr>
                <w:rFonts w:ascii="宋体" w:hAnsi="宋体" w:cs="宋体"/>
              </w:rPr>
            </w:pPr>
            <w:r>
              <w:rPr>
                <w:rFonts w:hint="eastAsia" w:ascii="宋体" w:hAnsi="宋体" w:cs="宋体"/>
              </w:rPr>
              <w:t>1.0</w:t>
            </w:r>
          </w:p>
        </w:tc>
      </w:tr>
      <w:tr w14:paraId="4FDD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0" w:type="dxa"/>
            <w:gridSpan w:val="2"/>
          </w:tcPr>
          <w:p w14:paraId="6349CD4F">
            <w:pPr>
              <w:spacing w:line="240" w:lineRule="auto"/>
              <w:rPr>
                <w:rFonts w:ascii="宋体" w:hAnsi="宋体" w:cs="宋体"/>
              </w:rPr>
            </w:pPr>
            <w:r>
              <w:rPr>
                <w:rFonts w:hint="eastAsia" w:ascii="宋体" w:hAnsi="宋体" w:cs="宋体"/>
              </w:rPr>
              <w:t>机动车车与柱间距</w:t>
            </w:r>
          </w:p>
        </w:tc>
        <w:tc>
          <w:tcPr>
            <w:tcW w:w="2107" w:type="dxa"/>
          </w:tcPr>
          <w:p w14:paraId="788CF7E1">
            <w:pPr>
              <w:spacing w:line="240" w:lineRule="auto"/>
              <w:rPr>
                <w:rFonts w:ascii="宋体" w:hAnsi="宋体" w:cs="宋体"/>
              </w:rPr>
            </w:pPr>
            <w:r>
              <w:rPr>
                <w:rFonts w:hint="eastAsia" w:ascii="宋体" w:hAnsi="宋体" w:cs="宋体"/>
              </w:rPr>
              <w:t>0.3</w:t>
            </w:r>
          </w:p>
        </w:tc>
        <w:tc>
          <w:tcPr>
            <w:tcW w:w="1495" w:type="dxa"/>
          </w:tcPr>
          <w:p w14:paraId="627D3218">
            <w:pPr>
              <w:spacing w:line="240" w:lineRule="auto"/>
              <w:rPr>
                <w:rFonts w:ascii="宋体" w:hAnsi="宋体" w:cs="宋体"/>
              </w:rPr>
            </w:pPr>
            <w:r>
              <w:rPr>
                <w:rFonts w:hint="eastAsia" w:ascii="宋体" w:hAnsi="宋体" w:cs="宋体"/>
              </w:rPr>
              <w:t>0.3</w:t>
            </w:r>
          </w:p>
        </w:tc>
        <w:tc>
          <w:tcPr>
            <w:tcW w:w="1830" w:type="dxa"/>
          </w:tcPr>
          <w:p w14:paraId="539AF21A">
            <w:pPr>
              <w:spacing w:line="240" w:lineRule="auto"/>
              <w:rPr>
                <w:rFonts w:ascii="宋体" w:hAnsi="宋体" w:cs="宋体"/>
              </w:rPr>
            </w:pPr>
            <w:r>
              <w:rPr>
                <w:rFonts w:hint="eastAsia" w:ascii="宋体" w:hAnsi="宋体" w:cs="宋体"/>
              </w:rPr>
              <w:t>0.4</w:t>
            </w:r>
          </w:p>
        </w:tc>
      </w:tr>
      <w:tr w14:paraId="34B0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vMerge w:val="restart"/>
          </w:tcPr>
          <w:p w14:paraId="50C8F651">
            <w:pPr>
              <w:spacing w:line="240" w:lineRule="auto"/>
              <w:rPr>
                <w:rFonts w:ascii="宋体" w:hAnsi="宋体" w:cs="宋体"/>
              </w:rPr>
            </w:pPr>
            <w:r>
              <w:rPr>
                <w:rFonts w:hint="eastAsia" w:ascii="宋体" w:hAnsi="宋体" w:cs="宋体"/>
              </w:rPr>
              <w:t>机动车与墙、护栏及其它构筑物之间的净距</w:t>
            </w:r>
          </w:p>
        </w:tc>
        <w:tc>
          <w:tcPr>
            <w:tcW w:w="1391" w:type="dxa"/>
          </w:tcPr>
          <w:p w14:paraId="37F0857B">
            <w:pPr>
              <w:spacing w:line="240" w:lineRule="auto"/>
              <w:rPr>
                <w:rFonts w:ascii="宋体" w:hAnsi="宋体" w:cs="宋体"/>
              </w:rPr>
            </w:pPr>
            <w:r>
              <w:rPr>
                <w:rFonts w:hint="eastAsia" w:ascii="宋体" w:hAnsi="宋体" w:cs="宋体"/>
              </w:rPr>
              <w:t>纵</w:t>
            </w:r>
          </w:p>
        </w:tc>
        <w:tc>
          <w:tcPr>
            <w:tcW w:w="2107" w:type="dxa"/>
          </w:tcPr>
          <w:p w14:paraId="4CA418C2">
            <w:pPr>
              <w:spacing w:line="240" w:lineRule="auto"/>
              <w:rPr>
                <w:rFonts w:ascii="宋体" w:hAnsi="宋体" w:cs="宋体"/>
              </w:rPr>
            </w:pPr>
            <w:r>
              <w:rPr>
                <w:rFonts w:hint="eastAsia" w:ascii="宋体" w:hAnsi="宋体" w:cs="宋体"/>
              </w:rPr>
              <w:t>0.5</w:t>
            </w:r>
          </w:p>
        </w:tc>
        <w:tc>
          <w:tcPr>
            <w:tcW w:w="1495" w:type="dxa"/>
          </w:tcPr>
          <w:p w14:paraId="087945C4">
            <w:pPr>
              <w:spacing w:line="240" w:lineRule="auto"/>
              <w:rPr>
                <w:rFonts w:ascii="宋体" w:hAnsi="宋体" w:cs="宋体"/>
              </w:rPr>
            </w:pPr>
            <w:r>
              <w:rPr>
                <w:rFonts w:hint="eastAsia" w:ascii="宋体" w:hAnsi="宋体" w:cs="宋体"/>
              </w:rPr>
              <w:t>0.5</w:t>
            </w:r>
          </w:p>
        </w:tc>
        <w:tc>
          <w:tcPr>
            <w:tcW w:w="1830" w:type="dxa"/>
          </w:tcPr>
          <w:p w14:paraId="16A9E02A">
            <w:pPr>
              <w:spacing w:line="240" w:lineRule="auto"/>
              <w:rPr>
                <w:rFonts w:ascii="宋体" w:hAnsi="宋体" w:cs="宋体"/>
              </w:rPr>
            </w:pPr>
            <w:r>
              <w:rPr>
                <w:rFonts w:hint="eastAsia" w:ascii="宋体" w:hAnsi="宋体" w:cs="宋体"/>
              </w:rPr>
              <w:t>0.5</w:t>
            </w:r>
          </w:p>
        </w:tc>
      </w:tr>
      <w:tr w14:paraId="38EF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9" w:type="dxa"/>
            <w:vMerge w:val="continue"/>
          </w:tcPr>
          <w:p w14:paraId="60661F82">
            <w:pPr>
              <w:spacing w:line="240" w:lineRule="auto"/>
              <w:rPr>
                <w:rFonts w:ascii="宋体" w:hAnsi="宋体" w:cs="宋体"/>
              </w:rPr>
            </w:pPr>
          </w:p>
        </w:tc>
        <w:tc>
          <w:tcPr>
            <w:tcW w:w="1391" w:type="dxa"/>
          </w:tcPr>
          <w:p w14:paraId="12F8A6B2">
            <w:pPr>
              <w:spacing w:line="240" w:lineRule="auto"/>
              <w:rPr>
                <w:rFonts w:ascii="宋体" w:hAnsi="宋体" w:cs="宋体"/>
              </w:rPr>
            </w:pPr>
            <w:r>
              <w:rPr>
                <w:rFonts w:hint="eastAsia" w:ascii="宋体" w:hAnsi="宋体" w:cs="宋体"/>
              </w:rPr>
              <w:t>横</w:t>
            </w:r>
          </w:p>
        </w:tc>
        <w:tc>
          <w:tcPr>
            <w:tcW w:w="2107" w:type="dxa"/>
          </w:tcPr>
          <w:p w14:paraId="072A27CD">
            <w:pPr>
              <w:spacing w:line="240" w:lineRule="auto"/>
              <w:rPr>
                <w:rFonts w:ascii="宋体" w:hAnsi="宋体" w:cs="宋体"/>
              </w:rPr>
            </w:pPr>
            <w:r>
              <w:rPr>
                <w:rFonts w:hint="eastAsia" w:ascii="宋体" w:hAnsi="宋体" w:cs="宋体"/>
              </w:rPr>
              <w:t>0.6</w:t>
            </w:r>
          </w:p>
        </w:tc>
        <w:tc>
          <w:tcPr>
            <w:tcW w:w="1495" w:type="dxa"/>
          </w:tcPr>
          <w:p w14:paraId="45FBE9AF">
            <w:pPr>
              <w:spacing w:line="240" w:lineRule="auto"/>
              <w:rPr>
                <w:rFonts w:ascii="宋体" w:hAnsi="宋体" w:cs="宋体"/>
              </w:rPr>
            </w:pPr>
            <w:r>
              <w:rPr>
                <w:rFonts w:hint="eastAsia" w:ascii="宋体" w:hAnsi="宋体" w:cs="宋体"/>
              </w:rPr>
              <w:t>0.8</w:t>
            </w:r>
          </w:p>
        </w:tc>
        <w:tc>
          <w:tcPr>
            <w:tcW w:w="1830" w:type="dxa"/>
          </w:tcPr>
          <w:p w14:paraId="37CAB045">
            <w:pPr>
              <w:spacing w:line="240" w:lineRule="auto"/>
              <w:rPr>
                <w:rFonts w:ascii="宋体" w:hAnsi="宋体" w:cs="宋体"/>
              </w:rPr>
            </w:pPr>
            <w:r>
              <w:rPr>
                <w:rFonts w:hint="eastAsia" w:ascii="宋体" w:hAnsi="宋体" w:cs="宋体"/>
              </w:rPr>
              <w:t>1.0</w:t>
            </w:r>
          </w:p>
        </w:tc>
      </w:tr>
    </w:tbl>
    <w:p w14:paraId="21779345">
      <w:pPr>
        <w:spacing w:line="240" w:lineRule="auto"/>
        <w:rPr>
          <w:rFonts w:ascii="宋体" w:hAnsi="宋体" w:cs="宋体"/>
        </w:rPr>
      </w:pPr>
      <w:r>
        <w:rPr>
          <w:rFonts w:hint="eastAsia" w:ascii="宋体" w:hAnsi="宋体" w:cs="宋体"/>
        </w:rPr>
        <w:t>注：斜楼板停车区域的楼板坡度不应大于5%。</w:t>
      </w:r>
    </w:p>
    <w:p w14:paraId="4DC5BA8C">
      <w:pPr>
        <w:pStyle w:val="108"/>
        <w:numPr>
          <w:ilvl w:val="4"/>
          <w:numId w:val="34"/>
        </w:numPr>
        <w:spacing w:before="0" w:beforeLines="0" w:after="0" w:afterLines="0"/>
        <w:outlineLvl w:val="9"/>
        <w:rPr>
          <w:rFonts w:ascii="宋体" w:hAnsi="宋体" w:eastAsia="宋体" w:cs="宋体"/>
          <w:szCs w:val="21"/>
        </w:rPr>
      </w:pPr>
      <w:r>
        <w:rPr>
          <w:rFonts w:hint="eastAsia" w:ascii="宋体" w:hAnsi="宋体" w:eastAsia="宋体" w:cs="宋体"/>
          <w:szCs w:val="21"/>
        </w:rPr>
        <w:t>根据《民用建筑设计统一标准》GB 50352要求，当两侧高差超过0.7m时，应在临空面采取防护措施，地下室考虑人行使用安全问题，建议当高差大于0.1m即应设置防护措施。</w:t>
      </w:r>
    </w:p>
    <w:p w14:paraId="63E85FB1">
      <w:pPr>
        <w:pStyle w:val="108"/>
        <w:numPr>
          <w:ilvl w:val="3"/>
          <w:numId w:val="34"/>
        </w:numPr>
        <w:spacing w:before="312" w:after="312"/>
        <w:outlineLvl w:val="2"/>
        <w:rPr>
          <w:rFonts w:ascii="宋体" w:hAnsi="宋体" w:eastAsia="宋体" w:cs="宋体"/>
          <w:szCs w:val="21"/>
        </w:rPr>
      </w:pPr>
      <w:r>
        <w:rPr>
          <w:rFonts w:hint="eastAsia"/>
        </w:rPr>
        <w:t>地面公共停车场</w:t>
      </w:r>
    </w:p>
    <w:p w14:paraId="35A66434">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采用地面停车形式的停车场应采用高大乔木、绿植作为与周边其他性质用地的隔离，在满足停车要求的条件下应在停车场内种植高大乔木，形成树阵，创造绿荫停车环境，除管理用房、停车辅助设施、停车位及通道外的场地应实现绿化，停车位应采用绿化渗水铺装。</w:t>
      </w:r>
    </w:p>
    <w:p w14:paraId="3717FD3E">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rPr>
        <w:t>林荫停车场在满足停车使用要求的条件下，应采用透气透水性较强得铺装材料铺设地面，并且间隔种植定量乔木等品种绿化植物，遮荫面积不宜小于停车场面积的30%。</w:t>
      </w:r>
    </w:p>
    <w:p w14:paraId="7E0CAC19">
      <w:pPr>
        <w:pStyle w:val="108"/>
        <w:numPr>
          <w:ilvl w:val="2"/>
          <w:numId w:val="32"/>
        </w:numPr>
        <w:spacing w:before="312" w:after="312"/>
        <w:outlineLvl w:val="1"/>
        <w:rPr>
          <w:rFonts w:ascii="宋体" w:hAnsi="宋体" w:eastAsia="宋体" w:cs="宋体"/>
          <w:strike/>
        </w:rPr>
      </w:pPr>
      <w:r>
        <w:rPr>
          <w:rFonts w:hint="eastAsia" w:hAnsi="黑体" w:cs="黑体"/>
          <w:szCs w:val="21"/>
          <w:lang w:bidi="ar"/>
        </w:rPr>
        <w:t>非机动车停车场（库）</w:t>
      </w:r>
    </w:p>
    <w:p w14:paraId="7F088FF1">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非机动车库出入口与机动车库出入口应分开设置，且出地面处的最小距离不应小于7.5m，出入口之间应确保视线通透。</w:t>
      </w:r>
    </w:p>
    <w:p w14:paraId="0A348EAA">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设置在公共停车场内的</w:t>
      </w:r>
      <w:r>
        <w:rPr>
          <w:rFonts w:hint="eastAsia" w:ascii="宋体" w:hAnsi="宋体" w:eastAsia="宋体" w:cs="宋体"/>
          <w:shd w:val="clear" w:color="auto" w:fill="FFFFFF"/>
        </w:rPr>
        <w:t>非机动车换乘停车场，应考虑换乘需求、换乘条件等因素，在轨道交通车站、公交枢纽站和公交车站等地区就近设置</w:t>
      </w:r>
      <w:r>
        <w:rPr>
          <w:rFonts w:hint="eastAsia" w:ascii="宋体" w:hAnsi="宋体" w:eastAsia="宋体" w:cs="宋体"/>
        </w:rPr>
        <w:t>，</w:t>
      </w:r>
      <w:r>
        <w:rPr>
          <w:rFonts w:hint="eastAsia" w:ascii="宋体" w:hAnsi="宋体" w:eastAsia="宋体" w:cs="宋体"/>
          <w:shd w:val="clear" w:color="auto" w:fill="FFFFFF"/>
        </w:rPr>
        <w:t>非机动车换乘停车场与轨道交通车站出入口的接驳距离不宜大于50米。</w:t>
      </w:r>
    </w:p>
    <w:p w14:paraId="652CDA99">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shd w:val="clear" w:color="auto" w:fill="FFFFFF"/>
        </w:rPr>
        <w:t>室外非机动车停车场应设置在基地边界线以内，出入口不宜设置在交叉路口附近，停车场出入口宽度不应小于2.0m，停车数大于等于300辆时，应设置不少于2个出入口。停车区应分组布置，每组停车区长度不宜超过20.0m。如场内</w:t>
      </w:r>
      <w:r>
        <w:rPr>
          <w:rFonts w:hint="eastAsia" w:ascii="宋体" w:hAnsi="宋体" w:eastAsia="宋体" w:cs="宋体"/>
        </w:rPr>
        <w:t>停放电动自行车，每组长度不宜大于12m，组与组间距不宜小于2m或设置高度不下雨1.5m、耐火极限不低于1.00h的不燃性防火隔墙。</w:t>
      </w:r>
    </w:p>
    <w:p w14:paraId="24D6E6A5">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shd w:val="clear" w:color="auto" w:fill="FFFFFF"/>
        </w:rPr>
        <w:t xml:space="preserve"> 非机动车库不宜设在地下二层及以下，不得与机动车混行。电动自行车宜停放在地面层，当条件限制时，也可在建筑一层、二层、半地下室及地下一层停放，</w:t>
      </w:r>
      <w:r>
        <w:rPr>
          <w:rFonts w:hint="eastAsia" w:ascii="宋体" w:hAnsi="宋体" w:eastAsia="宋体" w:cs="宋体"/>
        </w:rPr>
        <w:t>当地下停车层</w:t>
      </w:r>
      <w:r>
        <w:rPr>
          <w:rFonts w:hint="eastAsia" w:ascii="宋体" w:hAnsi="宋体" w:eastAsia="宋体" w:cs="宋体"/>
          <w:shd w:val="clear" w:color="auto" w:fill="FFFFFF"/>
        </w:rPr>
        <w:t>地坪与室外地坪高差大于7.0 m，应设置机械提升装置。</w:t>
      </w:r>
    </w:p>
    <w:p w14:paraId="4CBDC014">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非机动车库车辆出入口可采用踏步式出入口或坡道式出入口，如车库内存放电动自行车，则应采用坡道式出入口。</w:t>
      </w:r>
    </w:p>
    <w:p w14:paraId="2B9D0EB6">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踏步式出入口及坡道式出入口的斜坡坡度应符合现行行业标准《车库建筑设计规范》JCJ 100的规定。踏步式出入口推车斜坡宜设于坡道中间，两侧设置人行台阶。</w:t>
      </w:r>
    </w:p>
    <w:p w14:paraId="6B249646">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地上电动自行车库的耐火等级不应低于二级，地下电动自行车库的耐火等级应为一级，且应满足现行国家标准《建筑设计防火规范》GB 50016有关民用建筑耐火等级的相关规定。</w:t>
      </w:r>
    </w:p>
    <w:p w14:paraId="31549E37">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非机动车停车设计</w:t>
      </w:r>
      <w:r>
        <w:rPr>
          <w:rFonts w:hint="eastAsia" w:ascii="宋体" w:hAnsi="宋体" w:eastAsia="宋体" w:cs="宋体"/>
        </w:rPr>
        <w:t>除应符合本规范外，尚应符合现行</w:t>
      </w:r>
      <w:r>
        <w:rPr>
          <w:rFonts w:hint="eastAsia" w:ascii="宋体" w:hAnsi="宋体" w:eastAsia="宋体" w:cs="宋体"/>
          <w:shd w:val="clear" w:color="auto" w:fill="FFFFFF"/>
        </w:rPr>
        <w:t>行业标准《车库建筑设计规范》JGJ 100的相关规定 。</w:t>
      </w:r>
    </w:p>
    <w:p w14:paraId="442DDC6B">
      <w:pPr>
        <w:pStyle w:val="108"/>
        <w:numPr>
          <w:ilvl w:val="3"/>
          <w:numId w:val="32"/>
        </w:numPr>
        <w:spacing w:before="0" w:beforeLines="0" w:after="0" w:afterLines="0"/>
        <w:outlineLvl w:val="9"/>
      </w:pPr>
      <w:r>
        <w:rPr>
          <w:rFonts w:hint="eastAsia" w:ascii="宋体" w:hAnsi="宋体" w:eastAsia="宋体" w:cs="宋体"/>
          <w:shd w:val="clear" w:color="auto" w:fill="FFFFFF"/>
        </w:rPr>
        <w:t>电动自行车停车位最小尺寸2.0米X 0.8米，通道宽度不宜小于2.6米。</w:t>
      </w:r>
    </w:p>
    <w:p w14:paraId="4948A31D">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为住宅服务的地上电动自行车库应设置独立的安全出口,地下或半地下电动自行车库的疏散楼梯可借用住宅部分疏散楼梯,但应在首层采用耐火极限不低于2.00 h且无开口的防火隔墙分隔和乙级防火门将地下或半地下部分与地上部分的连通部位完全分隔 ,并应设置明显标识。</w:t>
      </w:r>
    </w:p>
    <w:p w14:paraId="30C8974F">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shd w:val="clear" w:color="auto" w:fill="FFFFFF"/>
        </w:rPr>
        <w:t>电动自行车场的充电设施应设有遮阳遮雨和安全防护措施，并保证通风、排水通畅。</w:t>
      </w:r>
    </w:p>
    <w:p w14:paraId="63BC988D">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color w:val="000000"/>
          <w:shd w:val="clear" w:color="auto" w:fill="FFFFFF"/>
        </w:rPr>
        <w:t>停放电动自行车的区域，应设置充电设施的导引、安全警告标识。</w:t>
      </w:r>
    </w:p>
    <w:p w14:paraId="4765CC48">
      <w:pPr>
        <w:pStyle w:val="108"/>
        <w:numPr>
          <w:ilvl w:val="2"/>
          <w:numId w:val="32"/>
        </w:numPr>
        <w:spacing w:before="312" w:after="312"/>
        <w:outlineLvl w:val="1"/>
        <w:rPr>
          <w:rFonts w:ascii="宋体" w:hAnsi="宋体" w:eastAsia="宋体" w:cs="宋体"/>
          <w:strike/>
        </w:rPr>
      </w:pPr>
      <w:r>
        <w:rPr>
          <w:rFonts w:hint="eastAsia" w:hAnsi="黑体" w:cs="黑体"/>
          <w:szCs w:val="21"/>
          <w:lang w:bidi="ar"/>
        </w:rPr>
        <w:t>人民防空地下室</w:t>
      </w:r>
    </w:p>
    <w:p w14:paraId="11567B12">
      <w:pPr>
        <w:pStyle w:val="108"/>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地下车库人防设计应符合以下规范规定的要求：</w:t>
      </w:r>
    </w:p>
    <w:p w14:paraId="693F0036">
      <w:pPr>
        <w:spacing w:line="240" w:lineRule="auto"/>
        <w:rPr>
          <w:rFonts w:ascii="宋体" w:hAnsi="宋体" w:cs="宋体"/>
          <w:szCs w:val="22"/>
          <w:lang w:bidi="ar"/>
        </w:rPr>
      </w:pPr>
      <w:r>
        <w:rPr>
          <w:rFonts w:hint="eastAsia" w:ascii="宋体" w:hAnsi="宋体" w:cs="宋体"/>
          <w:szCs w:val="22"/>
          <w:lang w:bidi="ar"/>
        </w:rPr>
        <w:t>（1）.《人民防空地下室设计规范》GB 50038</w:t>
      </w:r>
    </w:p>
    <w:p w14:paraId="0DC53417">
      <w:pPr>
        <w:spacing w:line="240" w:lineRule="auto"/>
        <w:rPr>
          <w:rFonts w:ascii="宋体" w:hAnsi="宋体" w:cs="宋体"/>
          <w:szCs w:val="22"/>
          <w:lang w:bidi="ar"/>
        </w:rPr>
      </w:pPr>
      <w:r>
        <w:rPr>
          <w:rFonts w:hint="eastAsia" w:ascii="宋体" w:hAnsi="宋体" w:cs="宋体"/>
          <w:szCs w:val="22"/>
          <w:lang w:bidi="ar"/>
        </w:rPr>
        <w:t>（2）.《人民防空工程设计防火规范》GB 50098</w:t>
      </w:r>
    </w:p>
    <w:p w14:paraId="52F166F0">
      <w:pPr>
        <w:spacing w:line="240" w:lineRule="auto"/>
        <w:rPr>
          <w:rFonts w:ascii="宋体" w:hAnsi="宋体" w:cs="宋体"/>
          <w:szCs w:val="22"/>
          <w:lang w:bidi="ar"/>
        </w:rPr>
      </w:pPr>
      <w:r>
        <w:rPr>
          <w:rFonts w:hint="eastAsia" w:ascii="宋体" w:hAnsi="宋体" w:cs="宋体"/>
          <w:szCs w:val="22"/>
          <w:lang w:bidi="ar"/>
        </w:rPr>
        <w:t>（3）.《福建省人民防空条例》2016年</w:t>
      </w:r>
    </w:p>
    <w:p w14:paraId="35E7E3BB">
      <w:pPr>
        <w:spacing w:line="240" w:lineRule="auto"/>
        <w:rPr>
          <w:rFonts w:ascii="宋体" w:hAnsi="宋体" w:cs="宋体"/>
          <w:szCs w:val="22"/>
          <w:lang w:bidi="ar"/>
        </w:rPr>
      </w:pPr>
      <w:r>
        <w:rPr>
          <w:rFonts w:hint="eastAsia" w:ascii="宋体" w:hAnsi="宋体" w:cs="宋体"/>
          <w:szCs w:val="22"/>
          <w:lang w:bidi="ar"/>
        </w:rPr>
        <w:t>（4）.《福建省防空地下室设计若干技术要求》闽人防办〔2008〕56号</w:t>
      </w:r>
    </w:p>
    <w:p w14:paraId="0A7202EA">
      <w:pPr>
        <w:spacing w:line="240" w:lineRule="auto"/>
        <w:rPr>
          <w:rFonts w:ascii="宋体" w:hAnsi="宋体" w:cs="宋体"/>
          <w:szCs w:val="22"/>
          <w:lang w:bidi="ar"/>
        </w:rPr>
      </w:pPr>
      <w:r>
        <w:rPr>
          <w:rFonts w:hint="eastAsia" w:ascii="宋体" w:hAnsi="宋体" w:cs="宋体"/>
          <w:szCs w:val="22"/>
          <w:lang w:bidi="ar"/>
        </w:rPr>
        <w:t>（5）.《福建省防空地下室防护标准管理规定》闽人防办〔2018〕84号</w:t>
      </w:r>
    </w:p>
    <w:p w14:paraId="0A624A68">
      <w:pPr>
        <w:spacing w:line="240" w:lineRule="auto"/>
        <w:rPr>
          <w:rFonts w:ascii="宋体" w:hAnsi="宋体" w:cs="宋体"/>
          <w:szCs w:val="22"/>
          <w:lang w:bidi="ar"/>
        </w:rPr>
      </w:pPr>
      <w:r>
        <w:rPr>
          <w:rFonts w:hint="eastAsia" w:ascii="宋体" w:hAnsi="宋体" w:cs="宋体"/>
          <w:szCs w:val="22"/>
          <w:lang w:bidi="ar"/>
        </w:rPr>
        <w:t>（6）.《福建省城市地下空间开发兼顾人民防空需要设计技术标准》闽RF01-2014</w:t>
      </w:r>
    </w:p>
    <w:p w14:paraId="599707FA">
      <w:pPr>
        <w:spacing w:line="240" w:lineRule="auto"/>
        <w:rPr>
          <w:rFonts w:ascii="宋体" w:hAnsi="宋体" w:cs="宋体"/>
          <w:szCs w:val="22"/>
          <w:lang w:bidi="ar"/>
        </w:rPr>
      </w:pPr>
      <w:r>
        <w:rPr>
          <w:rFonts w:hint="eastAsia" w:ascii="宋体" w:hAnsi="宋体" w:cs="宋体"/>
          <w:szCs w:val="22"/>
          <w:lang w:bidi="ar"/>
        </w:rPr>
        <w:t>（7）.《厦门市人民防空管理办法》2018年</w:t>
      </w:r>
    </w:p>
    <w:p w14:paraId="07DA3B10">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kern w:val="2"/>
          <w:szCs w:val="22"/>
          <w:lang w:bidi="ar"/>
        </w:rPr>
        <w:t>单独建设的城市地下空间的开发利用应当兼顾人民防空需要，其工程防护建筑面积不得低于相关规定的标准。</w:t>
      </w:r>
    </w:p>
    <w:p w14:paraId="5F31FDB7">
      <w:pPr>
        <w:pStyle w:val="108"/>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机械式停车位与人防门开启角度大于等于90°，且人防门开启后不影响其正常使用。机械式停车设备的安装使用不应影响人防墙体的防护和密闭性。</w:t>
      </w:r>
    </w:p>
    <w:p w14:paraId="5338C29B">
      <w:pPr>
        <w:pStyle w:val="108"/>
        <w:numPr>
          <w:ilvl w:val="2"/>
          <w:numId w:val="32"/>
        </w:numPr>
        <w:spacing w:before="312" w:after="312"/>
        <w:outlineLvl w:val="1"/>
        <w:rPr>
          <w:rFonts w:ascii="宋体" w:hAnsi="宋体" w:eastAsia="宋体" w:cs="宋体"/>
          <w:strike/>
        </w:rPr>
      </w:pPr>
      <w:r>
        <w:rPr>
          <w:rFonts w:hint="eastAsia" w:hAnsi="黑体" w:cs="黑体"/>
          <w:szCs w:val="21"/>
          <w:lang w:bidi="ar"/>
        </w:rPr>
        <w:t>地下室创新设计</w:t>
      </w:r>
    </w:p>
    <w:p w14:paraId="73CC8885">
      <w:pPr>
        <w:pStyle w:val="108"/>
        <w:numPr>
          <w:ilvl w:val="3"/>
          <w:numId w:val="32"/>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地下室宜采用</w:t>
      </w:r>
      <w:r>
        <w:rPr>
          <w:rFonts w:hint="eastAsia" w:ascii="宋体" w:hAnsi="宋体" w:eastAsia="宋体" w:cs="宋体"/>
          <w:kern w:val="2"/>
          <w:szCs w:val="22"/>
          <w:lang w:bidi="ar"/>
        </w:rPr>
        <w:t>阳光地下室，阳光地下室</w:t>
      </w:r>
      <w:r>
        <w:rPr>
          <w:rFonts w:ascii="宋体" w:hAnsi="宋体" w:eastAsia="宋体" w:cs="宋体"/>
          <w:kern w:val="2"/>
          <w:szCs w:val="22"/>
          <w:lang w:bidi="ar"/>
        </w:rPr>
        <w:t>采光方式分为</w:t>
      </w:r>
      <w:r>
        <w:rPr>
          <w:rFonts w:hint="eastAsia" w:ascii="宋体" w:hAnsi="宋体" w:eastAsia="宋体" w:cs="宋体"/>
          <w:kern w:val="2"/>
          <w:szCs w:val="22"/>
          <w:lang w:bidi="ar"/>
        </w:rPr>
        <w:t>：</w:t>
      </w:r>
    </w:p>
    <w:p w14:paraId="6404001D">
      <w:pPr>
        <w:pStyle w:val="108"/>
        <w:numPr>
          <w:ilvl w:val="0"/>
          <w:numId w:val="0"/>
        </w:numPr>
        <w:spacing w:before="0" w:beforeLines="0" w:after="0" w:afterLines="0"/>
        <w:ind w:firstLine="420" w:firstLineChars="200"/>
        <w:outlineLvl w:val="9"/>
        <w:rPr>
          <w:rFonts w:ascii="宋体" w:hAnsi="宋体" w:eastAsia="宋体" w:cs="宋体"/>
          <w:kern w:val="2"/>
          <w:szCs w:val="22"/>
          <w:lang w:bidi="ar"/>
        </w:rPr>
      </w:pPr>
      <w:r>
        <w:rPr>
          <w:rFonts w:hint="eastAsia" w:hAnsi="黑体" w:cs="黑体"/>
          <w:color w:val="000000"/>
          <w:szCs w:val="22"/>
          <w:lang w:bidi="ar"/>
        </w:rPr>
        <w:t>1</w:t>
      </w:r>
      <w:r>
        <w:rPr>
          <w:rFonts w:hint="eastAsia" w:ascii="宋体" w:hAnsi="宋体" w:eastAsia="宋体" w:cs="宋体"/>
          <w:kern w:val="2"/>
          <w:szCs w:val="22"/>
          <w:lang w:bidi="ar"/>
        </w:rPr>
        <w:t xml:space="preserve">  地下室侧壁采光法；</w:t>
      </w:r>
    </w:p>
    <w:p w14:paraId="5921DD4A">
      <w:pPr>
        <w:pStyle w:val="108"/>
        <w:numPr>
          <w:ilvl w:val="0"/>
          <w:numId w:val="0"/>
        </w:numPr>
        <w:spacing w:before="0" w:beforeLines="0" w:after="0" w:afterLines="0"/>
        <w:ind w:firstLine="420" w:firstLineChars="200"/>
        <w:outlineLvl w:val="9"/>
        <w:rPr>
          <w:rFonts w:ascii="宋体" w:hAnsi="宋体" w:eastAsia="宋体" w:cs="宋体"/>
          <w:kern w:val="2"/>
          <w:szCs w:val="22"/>
          <w:lang w:bidi="ar"/>
        </w:rPr>
      </w:pPr>
      <w:r>
        <w:rPr>
          <w:rFonts w:hint="eastAsia" w:hAnsi="黑体" w:cs="黑体"/>
          <w:color w:val="000000"/>
          <w:szCs w:val="22"/>
          <w:lang w:bidi="ar"/>
        </w:rPr>
        <w:t>2</w:t>
      </w:r>
      <w:r>
        <w:rPr>
          <w:rFonts w:hint="eastAsia" w:ascii="宋体" w:hAnsi="宋体" w:eastAsia="宋体" w:cs="宋体"/>
          <w:kern w:val="2"/>
          <w:szCs w:val="22"/>
          <w:lang w:bidi="ar"/>
        </w:rPr>
        <w:t xml:space="preserve">  下沉式庭院采光法；</w:t>
      </w:r>
    </w:p>
    <w:p w14:paraId="19F419C5">
      <w:pPr>
        <w:pStyle w:val="108"/>
        <w:numPr>
          <w:ilvl w:val="0"/>
          <w:numId w:val="0"/>
        </w:numPr>
        <w:spacing w:before="0" w:beforeLines="0" w:after="0" w:afterLines="0"/>
        <w:ind w:firstLine="420" w:firstLineChars="200"/>
        <w:outlineLvl w:val="9"/>
        <w:rPr>
          <w:rFonts w:ascii="宋体" w:hAnsi="宋体" w:eastAsia="宋体" w:cs="宋体"/>
          <w:kern w:val="2"/>
          <w:szCs w:val="22"/>
          <w:lang w:bidi="ar"/>
        </w:rPr>
      </w:pPr>
      <w:r>
        <w:rPr>
          <w:rFonts w:hint="eastAsia" w:hAnsi="黑体" w:cs="黑体"/>
          <w:color w:val="000000"/>
          <w:szCs w:val="22"/>
          <w:lang w:bidi="ar"/>
        </w:rPr>
        <w:t>3</w:t>
      </w:r>
      <w:r>
        <w:rPr>
          <w:rFonts w:hint="eastAsia" w:ascii="宋体" w:hAnsi="宋体" w:eastAsia="宋体" w:cs="宋体"/>
          <w:kern w:val="2"/>
          <w:szCs w:val="22"/>
          <w:lang w:bidi="ar"/>
        </w:rPr>
        <w:t xml:space="preserve">  天井采光法；</w:t>
      </w:r>
    </w:p>
    <w:p w14:paraId="24CF0DE2">
      <w:pPr>
        <w:pStyle w:val="108"/>
        <w:numPr>
          <w:ilvl w:val="0"/>
          <w:numId w:val="0"/>
        </w:numPr>
        <w:spacing w:before="0" w:beforeLines="0" w:after="0" w:afterLines="0"/>
        <w:ind w:firstLine="420" w:firstLineChars="200"/>
        <w:outlineLvl w:val="9"/>
        <w:rPr>
          <w:rFonts w:ascii="宋体" w:hAnsi="宋体" w:eastAsia="宋体" w:cs="宋体"/>
          <w:kern w:val="2"/>
          <w:szCs w:val="22"/>
          <w:lang w:bidi="ar"/>
        </w:rPr>
      </w:pPr>
      <w:r>
        <w:rPr>
          <w:rFonts w:hint="eastAsia" w:hAnsi="黑体" w:cs="黑体"/>
          <w:color w:val="000000"/>
          <w:szCs w:val="22"/>
          <w:lang w:bidi="ar"/>
        </w:rPr>
        <w:t>4</w:t>
      </w:r>
      <w:r>
        <w:rPr>
          <w:rFonts w:hint="eastAsia" w:ascii="宋体" w:hAnsi="宋体" w:eastAsia="宋体" w:cs="宋体"/>
          <w:kern w:val="2"/>
          <w:szCs w:val="22"/>
          <w:lang w:bidi="ar"/>
        </w:rPr>
        <w:t xml:space="preserve">  天窗中庭采光法。</w:t>
      </w:r>
    </w:p>
    <w:p w14:paraId="6D6827F5">
      <w:pPr>
        <w:pStyle w:val="108"/>
        <w:numPr>
          <w:ilvl w:val="3"/>
          <w:numId w:val="32"/>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地下室宜采用</w:t>
      </w:r>
      <w:r>
        <w:rPr>
          <w:rFonts w:hint="eastAsia" w:ascii="宋体" w:hAnsi="宋体" w:eastAsia="宋体" w:cs="宋体"/>
          <w:kern w:val="2"/>
          <w:szCs w:val="22"/>
          <w:lang w:bidi="ar"/>
        </w:rPr>
        <w:t>光导照明系统</w:t>
      </w:r>
      <w:r>
        <w:rPr>
          <w:rFonts w:ascii="宋体" w:hAnsi="宋体" w:eastAsia="宋体" w:cs="宋体"/>
          <w:kern w:val="2"/>
          <w:szCs w:val="22"/>
          <w:lang w:bidi="ar"/>
        </w:rPr>
        <w:t>等创新型技术，以达到节能目的。</w:t>
      </w:r>
    </w:p>
    <w:p w14:paraId="57111E28">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建筑场地应采用人车分流设计，并应明确建筑场地内的行人流线及机动车车流线。</w:t>
      </w:r>
    </w:p>
    <w:p w14:paraId="1B1D54E1">
      <w:pPr>
        <w:pStyle w:val="108"/>
        <w:numPr>
          <w:ilvl w:val="3"/>
          <w:numId w:val="32"/>
        </w:numPr>
        <w:spacing w:before="0" w:beforeLines="0" w:after="0" w:afterLines="0"/>
        <w:outlineLvl w:val="9"/>
        <w:rPr>
          <w:rFonts w:ascii="宋体" w:hAnsi="宋体" w:eastAsia="宋体"/>
        </w:rPr>
      </w:pPr>
      <w:r>
        <w:rPr>
          <w:rFonts w:ascii="宋体" w:hAnsi="宋体" w:eastAsia="宋体" w:cs="宋体"/>
        </w:rPr>
        <w:t>中小学</w:t>
      </w:r>
      <w:r>
        <w:rPr>
          <w:rFonts w:hint="eastAsia" w:ascii="宋体" w:hAnsi="宋体" w:eastAsia="宋体" w:cs="宋体"/>
          <w:lang w:val="en-US" w:eastAsia="zh-CN"/>
        </w:rPr>
        <w:t>校停车场（库）宜</w:t>
      </w:r>
      <w:r>
        <w:rPr>
          <w:rFonts w:ascii="宋体" w:hAnsi="宋体" w:eastAsia="宋体" w:cs="宋体"/>
        </w:rPr>
        <w:t>设置不小于300㎡的学生集中接送区域，并与道路设置安全隔离设施等。</w:t>
      </w:r>
    </w:p>
    <w:p w14:paraId="2893F363">
      <w:pPr>
        <w:pStyle w:val="108"/>
        <w:spacing w:before="312" w:after="312"/>
        <w:rPr>
          <w:rFonts w:ascii="宋体" w:hAnsi="宋体" w:eastAsia="宋体" w:cs="宋体"/>
        </w:rPr>
      </w:pPr>
      <w:r>
        <w:rPr>
          <w:rFonts w:hint="eastAsia" w:ascii="宋体" w:hAnsi="宋体" w:eastAsia="宋体" w:cs="宋体"/>
        </w:rPr>
        <w:t>路内停车位</w:t>
      </w:r>
    </w:p>
    <w:p w14:paraId="1D8788CA">
      <w:pPr>
        <w:pStyle w:val="108"/>
        <w:numPr>
          <w:ilvl w:val="2"/>
          <w:numId w:val="32"/>
        </w:numPr>
        <w:spacing w:before="312" w:after="312"/>
        <w:outlineLvl w:val="1"/>
      </w:pPr>
      <w:r>
        <w:rPr>
          <w:rFonts w:hint="eastAsia" w:hAnsi="黑体" w:cs="黑体"/>
          <w:szCs w:val="21"/>
          <w:lang w:bidi="ar"/>
        </w:rPr>
        <w:t>一般规定</w:t>
      </w:r>
    </w:p>
    <w:p w14:paraId="247CC894">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szCs w:val="21"/>
          <w:lang w:bidi="ar"/>
        </w:rPr>
        <w:t>停车供需矛盾突出的区域</w:t>
      </w:r>
      <w:r>
        <w:rPr>
          <w:rFonts w:ascii="宋体" w:hAnsi="宋体" w:eastAsia="宋体" w:cs="宋体"/>
          <w:szCs w:val="21"/>
          <w:lang w:bidi="ar"/>
        </w:rPr>
        <w:t>宜</w:t>
      </w:r>
      <w:r>
        <w:rPr>
          <w:rFonts w:hint="eastAsia" w:ascii="宋体" w:hAnsi="宋体" w:eastAsia="宋体" w:cs="宋体"/>
          <w:szCs w:val="21"/>
          <w:lang w:bidi="ar"/>
        </w:rPr>
        <w:t>在有条件的路段通过设置临时路内停车位作为补充，路内停车位的设置应严格控制总量，路内停车泊位的规模不应大于城市机动车停车泊位供给总量的5%，且采用收费管理提高停放周转率，通过差异化收费提高停车位使用率。</w:t>
      </w:r>
    </w:p>
    <w:p w14:paraId="1286D01A">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szCs w:val="21"/>
          <w:lang w:bidi="ar"/>
        </w:rPr>
        <w:t>路内停车位的设置应综合考虑道路、交通运行等条件，并兼顾停车需求。</w:t>
      </w:r>
    </w:p>
    <w:p w14:paraId="080570EF">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szCs w:val="21"/>
          <w:lang w:bidi="ar"/>
        </w:rPr>
        <w:t>路内停车位的设置不应侵占消防车通道、盲道及行人过街设施，不得影响行人及沿线单位出入口的正常通行。</w:t>
      </w:r>
    </w:p>
    <w:p w14:paraId="0B665463">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szCs w:val="21"/>
          <w:lang w:bidi="ar"/>
        </w:rPr>
        <w:t>路内停车位设置应综合考虑白天出行停车需求和夜间基本停车需求，采取白天短时停车和夜间长时停车相结合的规划原则。在满足交通、综合防灾等条件下，居住区基本停车需求旺盛的区域可以设置夜间限时段路内停车位。</w:t>
      </w:r>
    </w:p>
    <w:p w14:paraId="5E348B56">
      <w:pPr>
        <w:pStyle w:val="108"/>
        <w:numPr>
          <w:ilvl w:val="3"/>
          <w:numId w:val="32"/>
        </w:numPr>
        <w:spacing w:before="0" w:beforeLines="0" w:after="0" w:afterLines="0"/>
        <w:outlineLvl w:val="9"/>
        <w:rPr>
          <w:rFonts w:ascii="宋体" w:hAnsi="宋体" w:eastAsia="宋体" w:cs="宋体"/>
          <w:szCs w:val="21"/>
        </w:rPr>
      </w:pPr>
      <w:bookmarkStart w:id="46" w:name="_Hlk161235447"/>
      <w:r>
        <w:rPr>
          <w:rFonts w:hint="eastAsia" w:ascii="宋体" w:hAnsi="宋体" w:eastAsia="宋体" w:cs="宋体"/>
          <w:szCs w:val="21"/>
          <w:lang w:bidi="ar"/>
        </w:rPr>
        <w:t>路内停车位的设置应进行可行性评价和使用效果评价，制定相应的效益评估和退出机制</w:t>
      </w:r>
      <w:bookmarkEnd w:id="46"/>
      <w:r>
        <w:rPr>
          <w:rFonts w:hint="eastAsia" w:ascii="宋体" w:hAnsi="宋体" w:eastAsia="宋体" w:cs="宋体"/>
          <w:szCs w:val="21"/>
          <w:lang w:bidi="ar"/>
        </w:rPr>
        <w:t>。</w:t>
      </w:r>
    </w:p>
    <w:p w14:paraId="736439B7">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szCs w:val="21"/>
          <w:lang w:bidi="ar"/>
        </w:rPr>
        <w:t>路内停车位应设置停车位编码，停车位撤除或取消后，应及时清除路内停车标志、标线及其他停车管理设施。</w:t>
      </w:r>
    </w:p>
    <w:p w14:paraId="316FB3D7">
      <w:pPr>
        <w:pStyle w:val="108"/>
        <w:numPr>
          <w:ilvl w:val="2"/>
          <w:numId w:val="32"/>
        </w:numPr>
        <w:spacing w:before="312" w:after="312"/>
        <w:outlineLvl w:val="1"/>
      </w:pPr>
      <w:r>
        <w:rPr>
          <w:rFonts w:hint="eastAsia" w:hAnsi="黑体" w:cs="黑体"/>
          <w:szCs w:val="21"/>
          <w:lang w:bidi="ar"/>
        </w:rPr>
        <w:t>设置条件</w:t>
      </w:r>
    </w:p>
    <w:p w14:paraId="01E48B9F">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lang w:bidi="ar"/>
        </w:rPr>
        <w:t>在满足交通运行、安全等条件下，幼儿园、中小学等学校周边确需设置用于接送车辆停放的路段、停车供需矛盾突出的医院周边道路的路段、存在物流配送货物需求的路段，可以设置限时长停车位。</w:t>
      </w:r>
    </w:p>
    <w:p w14:paraId="6922F35C">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以下路段和区域不应设置停车位：</w:t>
      </w:r>
    </w:p>
    <w:p w14:paraId="26DFBF0D">
      <w:pPr>
        <w:spacing w:line="240" w:lineRule="auto"/>
        <w:ind w:firstLine="420" w:firstLineChars="200"/>
        <w:rPr>
          <w:rFonts w:ascii="宋体" w:hAnsi="宋体" w:cs="宋体"/>
          <w:color w:val="000000"/>
          <w:lang w:bidi="ar"/>
        </w:rPr>
      </w:pPr>
      <w:bookmarkStart w:id="47" w:name="_Hlk169344054"/>
      <w:r>
        <w:rPr>
          <w:rFonts w:hint="eastAsia" w:ascii="黑体" w:hAnsi="黑体" w:eastAsia="黑体" w:cs="黑体"/>
          <w:color w:val="000000"/>
          <w:szCs w:val="22"/>
          <w:lang w:bidi="ar"/>
        </w:rPr>
        <w:t>1</w:t>
      </w:r>
      <w:bookmarkEnd w:id="47"/>
      <w:r>
        <w:rPr>
          <w:rFonts w:hint="eastAsia" w:ascii="宋体" w:hAnsi="宋体" w:cs="宋体"/>
          <w:color w:val="000000"/>
          <w:szCs w:val="22"/>
          <w:lang w:bidi="ar"/>
        </w:rPr>
        <w:t xml:space="preserve">  快速路主路；</w:t>
      </w:r>
    </w:p>
    <w:p w14:paraId="14FC7D31">
      <w:pPr>
        <w:spacing w:line="240" w:lineRule="auto"/>
        <w:ind w:firstLine="420" w:firstLineChars="200"/>
        <w:rPr>
          <w:rFonts w:ascii="宋体" w:hAnsi="宋体" w:cs="宋体"/>
          <w:color w:val="000000"/>
          <w:lang w:bidi="ar"/>
        </w:rPr>
      </w:pPr>
      <w:r>
        <w:rPr>
          <w:rFonts w:hint="eastAsia" w:ascii="黑体" w:hAnsi="黑体" w:eastAsia="黑体" w:cs="黑体"/>
          <w:color w:val="000000"/>
          <w:szCs w:val="22"/>
          <w:lang w:bidi="ar"/>
        </w:rPr>
        <w:t>2</w:t>
      </w:r>
      <w:r>
        <w:rPr>
          <w:rFonts w:hint="eastAsia" w:ascii="宋体" w:hAnsi="宋体" w:cs="宋体"/>
          <w:color w:val="000000"/>
          <w:szCs w:val="22"/>
          <w:lang w:bidi="ar"/>
        </w:rPr>
        <w:t xml:space="preserve">  人行横道；</w:t>
      </w:r>
    </w:p>
    <w:p w14:paraId="7F872FE3">
      <w:pPr>
        <w:spacing w:line="240" w:lineRule="auto"/>
        <w:ind w:firstLine="420" w:firstLineChars="200"/>
        <w:rPr>
          <w:rFonts w:ascii="宋体" w:hAnsi="宋体" w:cs="宋体"/>
          <w:color w:val="000000"/>
          <w:lang w:bidi="ar"/>
        </w:rPr>
      </w:pPr>
      <w:r>
        <w:rPr>
          <w:rFonts w:hint="eastAsia" w:ascii="黑体" w:hAnsi="黑体" w:eastAsia="黑体" w:cs="黑体"/>
          <w:color w:val="000000"/>
          <w:szCs w:val="22"/>
          <w:lang w:bidi="ar"/>
        </w:rPr>
        <w:t>3</w:t>
      </w:r>
      <w:r>
        <w:rPr>
          <w:rFonts w:hint="eastAsia" w:ascii="宋体" w:hAnsi="宋体" w:cs="宋体"/>
          <w:color w:val="000000"/>
          <w:szCs w:val="22"/>
          <w:lang w:bidi="ar"/>
        </w:rPr>
        <w:t xml:space="preserve">  主干路、次干路交叉口渐变段的起点开始的路段，若交叉口未展宽则距离交叉口停止线50m以内的路段；</w:t>
      </w:r>
    </w:p>
    <w:p w14:paraId="32352810">
      <w:pPr>
        <w:spacing w:line="240" w:lineRule="auto"/>
        <w:ind w:firstLine="420" w:firstLineChars="200"/>
        <w:rPr>
          <w:rFonts w:ascii="宋体" w:hAnsi="宋体" w:cs="宋体"/>
          <w:color w:val="000000"/>
          <w:lang w:bidi="ar"/>
        </w:rPr>
      </w:pPr>
      <w:r>
        <w:rPr>
          <w:rFonts w:hint="eastAsia" w:ascii="黑体" w:hAnsi="黑体" w:eastAsia="黑体" w:cs="黑体"/>
          <w:color w:val="000000"/>
          <w:szCs w:val="22"/>
          <w:lang w:bidi="ar"/>
        </w:rPr>
        <w:t>4</w:t>
      </w:r>
      <w:r>
        <w:rPr>
          <w:rFonts w:hint="eastAsia" w:ascii="宋体" w:hAnsi="宋体" w:cs="宋体"/>
          <w:color w:val="000000"/>
          <w:szCs w:val="22"/>
          <w:lang w:bidi="ar"/>
        </w:rPr>
        <w:t xml:space="preserve">  支路距离交叉口停止线20m以内的路段；</w:t>
      </w:r>
    </w:p>
    <w:p w14:paraId="087DA359">
      <w:pPr>
        <w:spacing w:line="240" w:lineRule="auto"/>
        <w:ind w:firstLine="420" w:firstLineChars="200"/>
        <w:rPr>
          <w:rFonts w:ascii="宋体" w:hAnsi="宋体" w:cs="宋体"/>
          <w:color w:val="000000"/>
          <w:lang w:bidi="ar"/>
        </w:rPr>
      </w:pPr>
      <w:r>
        <w:rPr>
          <w:rFonts w:hint="eastAsia" w:ascii="黑体" w:hAnsi="黑体" w:eastAsia="黑体" w:cs="黑体"/>
          <w:color w:val="000000"/>
          <w:szCs w:val="22"/>
          <w:lang w:bidi="ar"/>
        </w:rPr>
        <w:t>5</w:t>
      </w:r>
      <w:r>
        <w:rPr>
          <w:rFonts w:hint="eastAsia" w:ascii="宋体" w:hAnsi="宋体" w:cs="宋体"/>
          <w:color w:val="000000"/>
          <w:szCs w:val="22"/>
          <w:lang w:bidi="ar"/>
        </w:rPr>
        <w:t xml:space="preserve">  铁路道口、铁路道口、急弯路、宽度不足4m的窄路、桥梁、陡坡、隧道以及距离50m以内的路段；</w:t>
      </w:r>
    </w:p>
    <w:p w14:paraId="7AAD8B49">
      <w:pPr>
        <w:spacing w:line="240" w:lineRule="auto"/>
        <w:ind w:firstLine="420" w:firstLineChars="200"/>
        <w:rPr>
          <w:rFonts w:ascii="宋体" w:hAnsi="宋体" w:cs="宋体"/>
          <w:color w:val="000000"/>
          <w:lang w:bidi="ar"/>
        </w:rPr>
      </w:pPr>
      <w:r>
        <w:rPr>
          <w:rFonts w:hint="eastAsia" w:ascii="黑体" w:hAnsi="黑体" w:eastAsia="黑体" w:cs="黑体"/>
          <w:color w:val="000000"/>
          <w:szCs w:val="22"/>
          <w:lang w:bidi="ar"/>
        </w:rPr>
        <w:t>6</w:t>
      </w:r>
      <w:r>
        <w:rPr>
          <w:rFonts w:hint="eastAsia" w:ascii="宋体" w:hAnsi="宋体" w:cs="宋体"/>
          <w:color w:val="000000"/>
          <w:szCs w:val="22"/>
          <w:lang w:bidi="ar"/>
        </w:rPr>
        <w:t xml:space="preserve">  公共车站、急救站、加油站或消防队（站）门前以及距离30m以内的路段；</w:t>
      </w:r>
    </w:p>
    <w:p w14:paraId="7D202AF2">
      <w:pPr>
        <w:spacing w:line="240" w:lineRule="auto"/>
        <w:ind w:firstLine="420" w:firstLineChars="200"/>
        <w:rPr>
          <w:rFonts w:ascii="宋体" w:hAnsi="宋体" w:cs="宋体"/>
          <w:color w:val="000000"/>
          <w:szCs w:val="22"/>
          <w:lang w:bidi="ar"/>
        </w:rPr>
      </w:pPr>
      <w:r>
        <w:rPr>
          <w:rFonts w:hint="eastAsia" w:ascii="黑体" w:hAnsi="黑体" w:eastAsia="黑体" w:cs="黑体"/>
          <w:color w:val="000000"/>
          <w:szCs w:val="22"/>
          <w:lang w:bidi="ar"/>
        </w:rPr>
        <w:t>7</w:t>
      </w:r>
      <w:r>
        <w:rPr>
          <w:rFonts w:hint="eastAsia" w:ascii="宋体" w:hAnsi="宋体" w:cs="宋体"/>
          <w:color w:val="000000"/>
          <w:szCs w:val="22"/>
          <w:lang w:bidi="ar"/>
        </w:rPr>
        <w:t xml:space="preserve">  水、电、气等地下管道工作井及1.5m以内的路段。</w:t>
      </w:r>
    </w:p>
    <w:p w14:paraId="7F55EB45">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停车位设置后应保证道路沿线出入口的安全停车视距，安全停车视距应符合表8.1的规定。</w:t>
      </w:r>
    </w:p>
    <w:p w14:paraId="767E600C">
      <w:pPr>
        <w:pStyle w:val="26"/>
        <w:autoSpaceDE w:val="0"/>
        <w:autoSpaceDN w:val="0"/>
        <w:spacing w:beforeAutospacing="0" w:afterAutospacing="0"/>
        <w:jc w:val="center"/>
        <w:rPr>
          <w:rFonts w:cs="宋体"/>
          <w:sz w:val="18"/>
          <w:szCs w:val="16"/>
        </w:rPr>
      </w:pPr>
      <w:r>
        <w:rPr>
          <w:rFonts w:hint="eastAsia" w:cs="宋体"/>
          <w:sz w:val="18"/>
          <w:szCs w:val="16"/>
          <w:lang w:bidi="ar"/>
        </w:rPr>
        <w:t>表8.1 安全停车视距</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058"/>
        <w:gridCol w:w="1058"/>
        <w:gridCol w:w="1058"/>
        <w:gridCol w:w="1058"/>
        <w:gridCol w:w="1058"/>
        <w:gridCol w:w="1058"/>
      </w:tblGrid>
      <w:tr w14:paraId="1C3A1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075A6BFA">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道路设计速度km/h</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6A1ECD25">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80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22009FCD">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60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24477354">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50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35DD559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7B6CB42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6C1E6AD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20</w:t>
            </w:r>
          </w:p>
        </w:tc>
      </w:tr>
      <w:tr w14:paraId="17D2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A65D727">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安全停车视距m</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3C4F08E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110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26043795">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70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7B708DB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60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5E99B1BD">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21A91D4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1058" w:type="dxa"/>
            <w:tcBorders>
              <w:top w:val="single" w:color="auto" w:sz="4" w:space="0"/>
              <w:left w:val="single" w:color="auto" w:sz="4" w:space="0"/>
              <w:bottom w:val="single" w:color="auto" w:sz="4" w:space="0"/>
              <w:right w:val="single" w:color="auto" w:sz="4" w:space="0"/>
            </w:tcBorders>
            <w:shd w:val="clear" w:color="auto" w:fill="auto"/>
            <w:vAlign w:val="center"/>
          </w:tcPr>
          <w:p w14:paraId="176DD0E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20</w:t>
            </w:r>
          </w:p>
        </w:tc>
      </w:tr>
    </w:tbl>
    <w:p w14:paraId="116CF670">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占用车行道设置停车位后车行道剩余宽度（</w:t>
      </w:r>
      <w:r>
        <w:rPr>
          <w:rFonts w:hint="eastAsia" w:ascii="宋体" w:hAnsi="宋体" w:eastAsia="宋体" w:cs="宋体"/>
          <w:kern w:val="2"/>
          <w:szCs w:val="22"/>
          <w:lang w:bidi="ar"/>
        </w:rPr>
        <w:t>W</w:t>
      </w:r>
      <w:r>
        <w:rPr>
          <w:rFonts w:hint="eastAsia" w:ascii="宋体" w:hAnsi="宋体" w:eastAsia="宋体" w:cs="宋体"/>
          <w:kern w:val="2"/>
          <w:szCs w:val="22"/>
          <w:vertAlign w:val="subscript"/>
          <w:lang w:bidi="ar"/>
        </w:rPr>
        <w:t>1</w:t>
      </w:r>
      <w:r>
        <w:rPr>
          <w:rFonts w:hint="eastAsia" w:ascii="宋体" w:hAnsi="宋体" w:eastAsia="宋体" w:cs="宋体"/>
          <w:color w:val="000000"/>
          <w:kern w:val="2"/>
          <w:szCs w:val="22"/>
          <w:lang w:bidi="ar"/>
        </w:rPr>
        <w:t>）应符合表8.2的规定。</w:t>
      </w:r>
    </w:p>
    <w:p w14:paraId="05BE8C4E">
      <w:pPr>
        <w:pStyle w:val="26"/>
        <w:autoSpaceDE w:val="0"/>
        <w:autoSpaceDN w:val="0"/>
        <w:spacing w:beforeAutospacing="0" w:afterAutospacing="0"/>
        <w:jc w:val="center"/>
        <w:rPr>
          <w:rFonts w:cs="宋体"/>
          <w:sz w:val="18"/>
          <w:szCs w:val="16"/>
        </w:rPr>
      </w:pPr>
      <w:r>
        <w:rPr>
          <w:rFonts w:hint="eastAsia" w:cs="宋体"/>
          <w:sz w:val="18"/>
          <w:szCs w:val="16"/>
          <w:lang w:bidi="ar"/>
        </w:rPr>
        <w:t xml:space="preserve">  表8.2 设置停车位后车行道剩余宽度要求</w:t>
      </w:r>
    </w:p>
    <w:tbl>
      <w:tblPr>
        <w:tblStyle w:val="30"/>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1395"/>
        <w:gridCol w:w="1485"/>
        <w:gridCol w:w="3465"/>
      </w:tblGrid>
      <w:tr w14:paraId="0C2E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6B8CEF5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通行条件</w:t>
            </w:r>
          </w:p>
        </w:tc>
        <w:tc>
          <w:tcPr>
            <w:tcW w:w="2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9AEA7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停车位排列方式</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00A79B7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车行道路路面剩余宽度（W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）m</w:t>
            </w:r>
          </w:p>
        </w:tc>
      </w:tr>
      <w:tr w14:paraId="10E7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0ADE28F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机动车双向通行道路</w:t>
            </w:r>
          </w:p>
        </w:tc>
        <w:tc>
          <w:tcPr>
            <w:tcW w:w="2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D27E7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6F59315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≥6</w:t>
            </w:r>
          </w:p>
        </w:tc>
      </w:tr>
      <w:tr w14:paraId="2699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34C88F">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机动车单向通行道路</w:t>
            </w:r>
          </w:p>
        </w:tc>
        <w:tc>
          <w:tcPr>
            <w:tcW w:w="2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9FA734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平行式</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06567807">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≥4</w:t>
            </w:r>
          </w:p>
        </w:tc>
      </w:tr>
      <w:tr w14:paraId="67AF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99D24A">
            <w:pPr>
              <w:spacing w:line="240" w:lineRule="auto"/>
              <w:rPr>
                <w:rFonts w:ascii="宋体" w:hAnsi="宋体" w:cs="宋体"/>
                <w:sz w:val="20"/>
                <w:szCs w:val="20"/>
              </w:rPr>
            </w:pPr>
          </w:p>
        </w:tc>
        <w:tc>
          <w:tcPr>
            <w:tcW w:w="139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2FB838E">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倾斜式</w:t>
            </w:r>
          </w:p>
          <w:p w14:paraId="00D59B7F">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（倾斜角α）</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3CEE23A5">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1DD854B9">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≥4</w:t>
            </w:r>
          </w:p>
        </w:tc>
      </w:tr>
      <w:tr w14:paraId="44B4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948A44">
            <w:pPr>
              <w:spacing w:line="240" w:lineRule="auto"/>
              <w:rPr>
                <w:rFonts w:ascii="宋体" w:hAnsi="宋体" w:cs="宋体"/>
                <w:sz w:val="20"/>
                <w:szCs w:val="20"/>
              </w:rPr>
            </w:pPr>
          </w:p>
        </w:tc>
        <w:tc>
          <w:tcPr>
            <w:tcW w:w="13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E0362B">
            <w:pPr>
              <w:spacing w:line="240" w:lineRule="auto"/>
              <w:rPr>
                <w:rFonts w:ascii="宋体" w:hAnsi="宋体" w:cs="宋体"/>
                <w:sz w:val="20"/>
                <w:szCs w:val="20"/>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1D4D9997">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45°</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5A4424C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≥4</w:t>
            </w:r>
          </w:p>
        </w:tc>
      </w:tr>
      <w:tr w14:paraId="039C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F6C69F">
            <w:pPr>
              <w:spacing w:line="240" w:lineRule="auto"/>
              <w:rPr>
                <w:rFonts w:ascii="宋体" w:hAnsi="宋体" w:cs="宋体"/>
                <w:sz w:val="20"/>
                <w:szCs w:val="20"/>
              </w:rPr>
            </w:pPr>
          </w:p>
        </w:tc>
        <w:tc>
          <w:tcPr>
            <w:tcW w:w="139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583BA5">
            <w:pPr>
              <w:spacing w:line="240" w:lineRule="auto"/>
              <w:rPr>
                <w:rFonts w:ascii="宋体" w:hAnsi="宋体" w:cs="宋体"/>
                <w:sz w:val="20"/>
                <w:szCs w:val="20"/>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05AFFDF4">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60°</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413DB4D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≥4.2</w:t>
            </w:r>
          </w:p>
        </w:tc>
      </w:tr>
      <w:tr w14:paraId="0A5E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19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031260">
            <w:pPr>
              <w:spacing w:line="240" w:lineRule="auto"/>
              <w:rPr>
                <w:rFonts w:ascii="宋体" w:hAnsi="宋体" w:cs="宋体"/>
                <w:sz w:val="20"/>
                <w:szCs w:val="20"/>
              </w:rPr>
            </w:pPr>
          </w:p>
        </w:tc>
        <w:tc>
          <w:tcPr>
            <w:tcW w:w="28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FE1701F">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垂直式</w:t>
            </w:r>
          </w:p>
        </w:tc>
        <w:tc>
          <w:tcPr>
            <w:tcW w:w="3465" w:type="dxa"/>
            <w:tcBorders>
              <w:top w:val="single" w:color="auto" w:sz="4" w:space="0"/>
              <w:left w:val="single" w:color="auto" w:sz="4" w:space="0"/>
              <w:bottom w:val="single" w:color="auto" w:sz="4" w:space="0"/>
              <w:right w:val="single" w:color="auto" w:sz="4" w:space="0"/>
            </w:tcBorders>
            <w:shd w:val="clear" w:color="auto" w:fill="auto"/>
            <w:vAlign w:val="center"/>
          </w:tcPr>
          <w:p w14:paraId="73E699AB">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W</w:t>
            </w:r>
            <w:r>
              <w:rPr>
                <w:rFonts w:hint="eastAsia" w:ascii="宋体" w:hAnsi="宋体" w:cs="宋体"/>
                <w:kern w:val="0"/>
                <w:sz w:val="20"/>
                <w:szCs w:val="20"/>
                <w:vertAlign w:val="subscript"/>
                <w:lang w:bidi="ar"/>
              </w:rPr>
              <w:t>1</w:t>
            </w:r>
            <w:r>
              <w:rPr>
                <w:rFonts w:hint="eastAsia" w:ascii="宋体" w:hAnsi="宋体" w:cs="宋体"/>
                <w:kern w:val="0"/>
                <w:sz w:val="20"/>
                <w:szCs w:val="20"/>
                <w:lang w:bidi="ar"/>
              </w:rPr>
              <w:t>≥5.5</w:t>
            </w:r>
          </w:p>
        </w:tc>
      </w:tr>
    </w:tbl>
    <w:p w14:paraId="5BC0ED50">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设置有机非分隔带的非机动车专用道，设置停车位后非机动车专用道剩余宽度（</w:t>
      </w:r>
      <w:r>
        <w:rPr>
          <w:rFonts w:hint="eastAsia" w:ascii="宋体" w:hAnsi="宋体" w:eastAsia="宋体" w:cs="宋体"/>
          <w:kern w:val="2"/>
          <w:szCs w:val="22"/>
          <w:lang w:bidi="ar"/>
        </w:rPr>
        <w:t>W</w:t>
      </w:r>
      <w:r>
        <w:rPr>
          <w:rFonts w:hint="eastAsia" w:ascii="宋体" w:hAnsi="宋体" w:eastAsia="宋体" w:cs="宋体"/>
          <w:kern w:val="2"/>
          <w:szCs w:val="22"/>
          <w:vertAlign w:val="subscript"/>
          <w:lang w:bidi="ar"/>
        </w:rPr>
        <w:t>2</w:t>
      </w:r>
      <w:r>
        <w:rPr>
          <w:rFonts w:hint="eastAsia" w:ascii="宋体" w:hAnsi="宋体" w:eastAsia="宋体" w:cs="宋体"/>
          <w:color w:val="000000"/>
          <w:kern w:val="2"/>
          <w:szCs w:val="22"/>
          <w:lang w:bidi="ar"/>
        </w:rPr>
        <w:t>）不宜小于3m，最小不应小于2.5m。</w:t>
      </w:r>
    </w:p>
    <w:p w14:paraId="528A4908">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占用部分人行道设置港湾式停车位后人行道剩余宽度（</w:t>
      </w:r>
      <w:r>
        <w:rPr>
          <w:rFonts w:hint="eastAsia" w:ascii="宋体" w:hAnsi="宋体" w:eastAsia="宋体" w:cs="宋体"/>
          <w:kern w:val="2"/>
          <w:szCs w:val="22"/>
          <w:lang w:bidi="ar"/>
        </w:rPr>
        <w:t>W</w:t>
      </w:r>
      <w:r>
        <w:rPr>
          <w:rFonts w:hint="eastAsia" w:ascii="宋体" w:hAnsi="宋体" w:eastAsia="宋体" w:cs="宋体"/>
          <w:kern w:val="2"/>
          <w:szCs w:val="22"/>
          <w:vertAlign w:val="subscript"/>
          <w:lang w:bidi="ar"/>
        </w:rPr>
        <w:t>3</w:t>
      </w:r>
      <w:r>
        <w:rPr>
          <w:rFonts w:hint="eastAsia" w:ascii="宋体" w:hAnsi="宋体" w:eastAsia="宋体" w:cs="宋体"/>
          <w:color w:val="000000"/>
          <w:kern w:val="2"/>
          <w:szCs w:val="22"/>
          <w:lang w:bidi="ar"/>
        </w:rPr>
        <w:t>）不宜小于表8.3的规定，当道路空间受限时可采用最小值。</w:t>
      </w:r>
    </w:p>
    <w:p w14:paraId="366B9554">
      <w:pPr>
        <w:pStyle w:val="26"/>
        <w:autoSpaceDE w:val="0"/>
        <w:autoSpaceDN w:val="0"/>
        <w:spacing w:beforeAutospacing="0" w:afterAutospacing="0"/>
        <w:jc w:val="center"/>
        <w:rPr>
          <w:sz w:val="18"/>
          <w:szCs w:val="16"/>
        </w:rPr>
      </w:pPr>
      <w:r>
        <w:rPr>
          <w:rFonts w:hint="eastAsia"/>
          <w:sz w:val="18"/>
          <w:szCs w:val="16"/>
          <w:lang w:bidi="ar"/>
        </w:rPr>
        <w:t>表8.3 设置港湾式停车位后人行道剩余宽度要求（单位：m）</w:t>
      </w:r>
    </w:p>
    <w:tbl>
      <w:tblPr>
        <w:tblStyle w:val="30"/>
        <w:tblW w:w="84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93"/>
        <w:gridCol w:w="2268"/>
        <w:gridCol w:w="2554"/>
      </w:tblGrid>
      <w:tr w14:paraId="711D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2A0D91F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项目</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26614A1F">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一般值</w:t>
            </w:r>
          </w:p>
        </w:tc>
        <w:tc>
          <w:tcPr>
            <w:tcW w:w="2556" w:type="dxa"/>
            <w:tcBorders>
              <w:top w:val="single" w:color="auto" w:sz="4" w:space="0"/>
              <w:left w:val="single" w:color="auto" w:sz="4" w:space="0"/>
              <w:bottom w:val="single" w:color="auto" w:sz="4" w:space="0"/>
              <w:right w:val="single" w:color="auto" w:sz="4" w:space="0"/>
            </w:tcBorders>
            <w:shd w:val="clear" w:color="auto" w:fill="auto"/>
            <w:vAlign w:val="center"/>
          </w:tcPr>
          <w:p w14:paraId="44876A8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最小值</w:t>
            </w:r>
          </w:p>
        </w:tc>
      </w:tr>
      <w:tr w14:paraId="3E36A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29FC84F9">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各级道路</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7692AAC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w:t>
            </w:r>
          </w:p>
        </w:tc>
        <w:tc>
          <w:tcPr>
            <w:tcW w:w="2556" w:type="dxa"/>
            <w:tcBorders>
              <w:top w:val="single" w:color="auto" w:sz="4" w:space="0"/>
              <w:left w:val="single" w:color="auto" w:sz="4" w:space="0"/>
              <w:bottom w:val="single" w:color="auto" w:sz="4" w:space="0"/>
              <w:right w:val="single" w:color="auto" w:sz="4" w:space="0"/>
            </w:tcBorders>
            <w:shd w:val="clear" w:color="auto" w:fill="auto"/>
            <w:vAlign w:val="center"/>
          </w:tcPr>
          <w:p w14:paraId="59281687">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2</w:t>
            </w:r>
          </w:p>
        </w:tc>
      </w:tr>
      <w:tr w14:paraId="3996F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470168C7">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商业或公共场所集中路段</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5541BE6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5</w:t>
            </w:r>
          </w:p>
        </w:tc>
        <w:tc>
          <w:tcPr>
            <w:tcW w:w="2556" w:type="dxa"/>
            <w:tcBorders>
              <w:top w:val="single" w:color="auto" w:sz="4" w:space="0"/>
              <w:left w:val="single" w:color="auto" w:sz="4" w:space="0"/>
              <w:bottom w:val="single" w:color="auto" w:sz="4" w:space="0"/>
              <w:right w:val="single" w:color="auto" w:sz="4" w:space="0"/>
            </w:tcBorders>
            <w:shd w:val="clear" w:color="auto" w:fill="auto"/>
            <w:vAlign w:val="center"/>
          </w:tcPr>
          <w:p w14:paraId="78D6AD8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r>
      <w:tr w14:paraId="4E7F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5471C00B">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火车站、码头附近路段</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60313C9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5</w:t>
            </w:r>
          </w:p>
        </w:tc>
        <w:tc>
          <w:tcPr>
            <w:tcW w:w="2556" w:type="dxa"/>
            <w:tcBorders>
              <w:top w:val="single" w:color="auto" w:sz="4" w:space="0"/>
              <w:left w:val="single" w:color="auto" w:sz="4" w:space="0"/>
              <w:bottom w:val="single" w:color="auto" w:sz="4" w:space="0"/>
              <w:right w:val="single" w:color="auto" w:sz="4" w:space="0"/>
            </w:tcBorders>
            <w:shd w:val="clear" w:color="auto" w:fill="auto"/>
            <w:vAlign w:val="center"/>
          </w:tcPr>
          <w:p w14:paraId="17FA628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r>
      <w:tr w14:paraId="50F4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39ED6E69">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长途汽车站附近路段</w:t>
            </w:r>
          </w:p>
        </w:tc>
        <w:tc>
          <w:tcPr>
            <w:tcW w:w="2270" w:type="dxa"/>
            <w:tcBorders>
              <w:top w:val="single" w:color="auto" w:sz="4" w:space="0"/>
              <w:left w:val="single" w:color="auto" w:sz="4" w:space="0"/>
              <w:bottom w:val="single" w:color="auto" w:sz="4" w:space="0"/>
              <w:right w:val="single" w:color="auto" w:sz="4" w:space="0"/>
            </w:tcBorders>
            <w:shd w:val="clear" w:color="auto" w:fill="auto"/>
            <w:vAlign w:val="center"/>
          </w:tcPr>
          <w:p w14:paraId="76CB5180">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c>
          <w:tcPr>
            <w:tcW w:w="2556" w:type="dxa"/>
            <w:tcBorders>
              <w:top w:val="single" w:color="auto" w:sz="4" w:space="0"/>
              <w:left w:val="single" w:color="auto" w:sz="4" w:space="0"/>
              <w:bottom w:val="single" w:color="auto" w:sz="4" w:space="0"/>
              <w:right w:val="single" w:color="auto" w:sz="4" w:space="0"/>
            </w:tcBorders>
            <w:shd w:val="clear" w:color="auto" w:fill="auto"/>
            <w:vAlign w:val="center"/>
          </w:tcPr>
          <w:p w14:paraId="6FC174D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w:t>
            </w:r>
          </w:p>
        </w:tc>
      </w:tr>
    </w:tbl>
    <w:p w14:paraId="16D8F4D0">
      <w:pPr>
        <w:pStyle w:val="108"/>
        <w:numPr>
          <w:ilvl w:val="3"/>
          <w:numId w:val="32"/>
        </w:numPr>
        <w:spacing w:before="0" w:beforeLines="0" w:after="0" w:afterLines="0"/>
        <w:outlineLvl w:val="9"/>
        <w:rPr>
          <w:rFonts w:ascii="宋体" w:hAnsi="宋体" w:eastAsia="宋体" w:cs="宋体"/>
          <w:color w:val="000000"/>
          <w:lang w:bidi="ar"/>
        </w:rPr>
      </w:pPr>
      <w:r>
        <w:rPr>
          <w:rFonts w:hint="eastAsia" w:ascii="宋体" w:hAnsi="宋体" w:eastAsia="宋体" w:cs="宋体"/>
          <w:color w:val="000000"/>
          <w:kern w:val="2"/>
          <w:szCs w:val="22"/>
          <w:lang w:bidi="ar"/>
        </w:rPr>
        <w:t>在人行道上设置停车位时应有供车辆进出的出入口，并且停车位设置后应保证行人通行空间的连续性、安全性，人行道剩余宽度（W</w:t>
      </w:r>
      <w:r>
        <w:rPr>
          <w:rFonts w:hint="eastAsia" w:ascii="宋体" w:hAnsi="宋体" w:eastAsia="宋体" w:cs="宋体"/>
          <w:color w:val="000000"/>
          <w:kern w:val="2"/>
          <w:szCs w:val="22"/>
          <w:vertAlign w:val="subscript"/>
          <w:lang w:bidi="ar"/>
        </w:rPr>
        <w:t>4</w:t>
      </w:r>
      <w:r>
        <w:rPr>
          <w:rFonts w:hint="eastAsia" w:ascii="宋体" w:hAnsi="宋体" w:eastAsia="宋体" w:cs="宋体"/>
          <w:color w:val="000000"/>
          <w:kern w:val="2"/>
          <w:szCs w:val="22"/>
          <w:lang w:bidi="ar"/>
        </w:rPr>
        <w:t>）不宜小于表8.4的规定。</w:t>
      </w:r>
    </w:p>
    <w:p w14:paraId="73957FA5">
      <w:pPr>
        <w:pStyle w:val="26"/>
        <w:autoSpaceDE w:val="0"/>
        <w:autoSpaceDN w:val="0"/>
        <w:spacing w:beforeAutospacing="0" w:afterAutospacing="0"/>
        <w:jc w:val="center"/>
        <w:rPr>
          <w:rFonts w:hint="eastAsia"/>
          <w:sz w:val="18"/>
          <w:szCs w:val="16"/>
          <w:lang w:bidi="ar"/>
        </w:rPr>
      </w:pPr>
    </w:p>
    <w:p w14:paraId="2B37CB41">
      <w:pPr>
        <w:pStyle w:val="26"/>
        <w:autoSpaceDE w:val="0"/>
        <w:autoSpaceDN w:val="0"/>
        <w:spacing w:beforeAutospacing="0" w:afterAutospacing="0"/>
        <w:jc w:val="center"/>
        <w:rPr>
          <w:rFonts w:hint="eastAsia"/>
          <w:sz w:val="18"/>
          <w:szCs w:val="16"/>
          <w:lang w:bidi="ar"/>
        </w:rPr>
      </w:pPr>
    </w:p>
    <w:p w14:paraId="528E8F1A">
      <w:pPr>
        <w:pStyle w:val="26"/>
        <w:autoSpaceDE w:val="0"/>
        <w:autoSpaceDN w:val="0"/>
        <w:spacing w:beforeAutospacing="0" w:afterAutospacing="0"/>
        <w:jc w:val="center"/>
        <w:rPr>
          <w:sz w:val="18"/>
          <w:szCs w:val="16"/>
        </w:rPr>
      </w:pPr>
      <w:r>
        <w:rPr>
          <w:rFonts w:hint="eastAsia"/>
          <w:sz w:val="18"/>
          <w:szCs w:val="16"/>
          <w:lang w:bidi="ar"/>
        </w:rPr>
        <w:t>表8.4 人行道上设置停车位后剩余最小宽度要求</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1559"/>
        <w:gridCol w:w="3198"/>
      </w:tblGrid>
      <w:tr w14:paraId="67E2FB33">
        <w:tblPrEx>
          <w:tblCellMar>
            <w:top w:w="0" w:type="dxa"/>
            <w:left w:w="108" w:type="dxa"/>
            <w:bottom w:w="0" w:type="dxa"/>
            <w:right w:w="108" w:type="dxa"/>
          </w:tblCellMar>
        </w:tblPrEx>
        <w:trPr>
          <w:jc w:val="center"/>
        </w:trPr>
        <w:tc>
          <w:tcPr>
            <w:tcW w:w="30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D38B5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停车位排列方式</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501E3774">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人行道剩余宽度（W</w:t>
            </w:r>
            <w:r>
              <w:rPr>
                <w:rFonts w:hint="eastAsia" w:ascii="宋体" w:hAnsi="宋体" w:cs="宋体"/>
                <w:kern w:val="0"/>
                <w:sz w:val="20"/>
                <w:szCs w:val="20"/>
                <w:vertAlign w:val="subscript"/>
                <w:lang w:bidi="ar"/>
              </w:rPr>
              <w:t>4</w:t>
            </w:r>
            <w:r>
              <w:rPr>
                <w:rFonts w:hint="eastAsia" w:ascii="宋体" w:hAnsi="宋体" w:cs="宋体"/>
                <w:kern w:val="0"/>
                <w:sz w:val="20"/>
                <w:szCs w:val="20"/>
                <w:lang w:bidi="ar"/>
              </w:rPr>
              <w:t>）m</w:t>
            </w:r>
          </w:p>
        </w:tc>
      </w:tr>
      <w:tr w14:paraId="0149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7CF1B5">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平行式</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37AB0DD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r>
      <w:tr w14:paraId="53E6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24EE55">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倾斜式</w:t>
            </w:r>
          </w:p>
          <w:p w14:paraId="4E2E65A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（倾斜角α）</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47880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30°</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5E83BEA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r>
      <w:tr w14:paraId="3D0B3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EBACC">
            <w:pPr>
              <w:spacing w:line="240" w:lineRule="auto"/>
              <w:rPr>
                <w:rFonts w:ascii="等线" w:hAnsi="等线" w:eastAsia="等线"/>
                <w:sz w:val="20"/>
                <w:szCs w:val="20"/>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701EB7A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45°</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71434C0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w:t>
            </w:r>
          </w:p>
        </w:tc>
      </w:tr>
      <w:tr w14:paraId="28A3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4A050E">
            <w:pPr>
              <w:spacing w:line="240" w:lineRule="auto"/>
              <w:rPr>
                <w:rFonts w:ascii="等线" w:hAnsi="等线" w:eastAsia="等线"/>
                <w:sz w:val="20"/>
                <w:szCs w:val="20"/>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9D2603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60°</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09FB95E9">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4.2</w:t>
            </w:r>
          </w:p>
        </w:tc>
      </w:tr>
      <w:tr w14:paraId="7E1F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30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36D7CA">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垂直式</w:t>
            </w:r>
          </w:p>
        </w:tc>
        <w:tc>
          <w:tcPr>
            <w:tcW w:w="3198" w:type="dxa"/>
            <w:tcBorders>
              <w:top w:val="single" w:color="auto" w:sz="4" w:space="0"/>
              <w:left w:val="single" w:color="auto" w:sz="4" w:space="0"/>
              <w:bottom w:val="single" w:color="auto" w:sz="4" w:space="0"/>
              <w:right w:val="single" w:color="auto" w:sz="4" w:space="0"/>
            </w:tcBorders>
            <w:shd w:val="clear" w:color="auto" w:fill="auto"/>
            <w:vAlign w:val="center"/>
          </w:tcPr>
          <w:p w14:paraId="1F298ABD">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5.5</w:t>
            </w:r>
          </w:p>
        </w:tc>
      </w:tr>
    </w:tbl>
    <w:p w14:paraId="15E31F06">
      <w:pPr>
        <w:pStyle w:val="108"/>
        <w:numPr>
          <w:ilvl w:val="3"/>
          <w:numId w:val="32"/>
        </w:numPr>
        <w:spacing w:before="0" w:beforeLines="0" w:after="0" w:afterLines="0"/>
        <w:outlineLvl w:val="9"/>
        <w:rPr>
          <w:rFonts w:ascii="宋体" w:hAnsi="宋体" w:eastAsia="宋体" w:cs="宋体"/>
          <w:lang w:bidi="ar"/>
        </w:rPr>
      </w:pPr>
      <w:r>
        <w:rPr>
          <w:rFonts w:hint="eastAsia" w:ascii="宋体" w:hAnsi="宋体" w:eastAsia="宋体" w:cs="宋体"/>
          <w:kern w:val="2"/>
          <w:szCs w:val="22"/>
          <w:lang w:bidi="ar"/>
        </w:rPr>
        <w:t>如占用机动车道或非机动车道设置停车位，停车位设置后的道路V/C比值宜符合表8.5、8.6的规定。如占用机非混行车道设置停车位，停车位设置后的机动车平均行程速度宜符合表8.7的规定。</w:t>
      </w:r>
    </w:p>
    <w:p w14:paraId="49A4845E">
      <w:pPr>
        <w:spacing w:line="240" w:lineRule="auto"/>
        <w:jc w:val="center"/>
        <w:rPr>
          <w:rFonts w:ascii="宋体" w:hAnsi="宋体" w:cs="宋体"/>
          <w:sz w:val="18"/>
          <w:szCs w:val="18"/>
          <w:lang w:bidi="ar"/>
        </w:rPr>
      </w:pPr>
      <w:r>
        <w:rPr>
          <w:rFonts w:hint="eastAsia" w:ascii="宋体" w:hAnsi="宋体" w:cs="宋体"/>
          <w:sz w:val="18"/>
          <w:szCs w:val="18"/>
          <w:lang w:bidi="ar"/>
        </w:rPr>
        <w:t>表8.5占用机动车道设置停车位后的 V/C比值</w:t>
      </w:r>
    </w:p>
    <w:tbl>
      <w:tblPr>
        <w:tblStyle w:val="30"/>
        <w:tblW w:w="7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3156"/>
      </w:tblGrid>
      <w:tr w14:paraId="3384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4F8716C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机动车单侧道路高峰小时V/C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6DE4A93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停车位设置</w:t>
            </w:r>
          </w:p>
        </w:tc>
      </w:tr>
      <w:tr w14:paraId="302C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6BEFF60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V/C＜0.8</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21873A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可以设置</w:t>
            </w:r>
          </w:p>
        </w:tc>
      </w:tr>
      <w:tr w14:paraId="1320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4B095FE8">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V/C≥0.8</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7FA30D9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不可设置</w:t>
            </w:r>
          </w:p>
        </w:tc>
      </w:tr>
    </w:tbl>
    <w:p w14:paraId="2CC44A58">
      <w:pPr>
        <w:spacing w:line="240" w:lineRule="auto"/>
        <w:jc w:val="center"/>
        <w:rPr>
          <w:rFonts w:ascii="宋体" w:hAnsi="宋体" w:cs="宋体"/>
          <w:sz w:val="18"/>
          <w:szCs w:val="18"/>
          <w:lang w:bidi="ar"/>
        </w:rPr>
      </w:pPr>
      <w:r>
        <w:rPr>
          <w:rFonts w:hint="eastAsia" w:ascii="宋体" w:hAnsi="宋体" w:cs="宋体"/>
          <w:sz w:val="18"/>
          <w:szCs w:val="18"/>
          <w:lang w:bidi="ar"/>
        </w:rPr>
        <w:t>表8.6 占用非机动车道设置停车泊位的V/C比值</w:t>
      </w:r>
    </w:p>
    <w:tbl>
      <w:tblPr>
        <w:tblStyle w:val="30"/>
        <w:tblW w:w="7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9"/>
        <w:gridCol w:w="3156"/>
      </w:tblGrid>
      <w:tr w14:paraId="0FD4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01C8686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非机动车单侧道路高峰小时V/C</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406A2E4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停车位设置</w:t>
            </w:r>
          </w:p>
        </w:tc>
      </w:tr>
      <w:tr w14:paraId="4731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518FAC44">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V/C＜0.85</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482041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可以设置</w:t>
            </w:r>
          </w:p>
        </w:tc>
      </w:tr>
      <w:tr w14:paraId="4623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0" w:type="dxa"/>
            <w:tcBorders>
              <w:top w:val="single" w:color="auto" w:sz="4" w:space="0"/>
              <w:left w:val="single" w:color="auto" w:sz="4" w:space="0"/>
              <w:bottom w:val="single" w:color="auto" w:sz="4" w:space="0"/>
              <w:right w:val="single" w:color="auto" w:sz="4" w:space="0"/>
            </w:tcBorders>
            <w:shd w:val="clear" w:color="auto" w:fill="auto"/>
            <w:vAlign w:val="center"/>
          </w:tcPr>
          <w:p w14:paraId="69F4227B">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V/C≥0.85</w:t>
            </w:r>
          </w:p>
        </w:tc>
        <w:tc>
          <w:tcPr>
            <w:tcW w:w="3156" w:type="dxa"/>
            <w:tcBorders>
              <w:top w:val="single" w:color="auto" w:sz="4" w:space="0"/>
              <w:left w:val="single" w:color="auto" w:sz="4" w:space="0"/>
              <w:bottom w:val="single" w:color="auto" w:sz="4" w:space="0"/>
              <w:right w:val="single" w:color="auto" w:sz="4" w:space="0"/>
            </w:tcBorders>
            <w:shd w:val="clear" w:color="auto" w:fill="auto"/>
            <w:vAlign w:val="center"/>
          </w:tcPr>
          <w:p w14:paraId="1DF89E59">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不可设置</w:t>
            </w:r>
          </w:p>
        </w:tc>
      </w:tr>
    </w:tbl>
    <w:p w14:paraId="2E95F3E7">
      <w:pPr>
        <w:spacing w:line="240" w:lineRule="auto"/>
        <w:jc w:val="center"/>
        <w:rPr>
          <w:rFonts w:ascii="宋体" w:hAnsi="宋体" w:cs="宋体"/>
          <w:sz w:val="18"/>
          <w:szCs w:val="18"/>
          <w:lang w:bidi="ar"/>
        </w:rPr>
      </w:pPr>
      <w:r>
        <w:rPr>
          <w:rFonts w:hint="eastAsia" w:ascii="宋体" w:hAnsi="宋体" w:cs="宋体"/>
          <w:sz w:val="18"/>
          <w:szCs w:val="18"/>
          <w:lang w:bidi="ar"/>
        </w:rPr>
        <w:t>表8.7 占用机非混行车道设置停车位后的机动车平均行程速度</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3136"/>
      </w:tblGrid>
      <w:tr w14:paraId="1AD5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Borders>
              <w:top w:val="single" w:color="auto" w:sz="4" w:space="0"/>
              <w:left w:val="single" w:color="auto" w:sz="4" w:space="0"/>
              <w:bottom w:val="single" w:color="auto" w:sz="4" w:space="0"/>
              <w:right w:val="single" w:color="auto" w:sz="4" w:space="0"/>
            </w:tcBorders>
            <w:shd w:val="clear" w:color="auto" w:fill="auto"/>
            <w:vAlign w:val="center"/>
          </w:tcPr>
          <w:p w14:paraId="1EE0DB92">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机动车平均行程速度v（km/h）</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070DCC96">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停车位设置</w:t>
            </w:r>
          </w:p>
        </w:tc>
      </w:tr>
      <w:tr w14:paraId="15CD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Borders>
              <w:top w:val="single" w:color="auto" w:sz="4" w:space="0"/>
              <w:left w:val="single" w:color="auto" w:sz="4" w:space="0"/>
              <w:bottom w:val="single" w:color="auto" w:sz="4" w:space="0"/>
              <w:right w:val="single" w:color="auto" w:sz="4" w:space="0"/>
            </w:tcBorders>
            <w:shd w:val="clear" w:color="auto" w:fill="auto"/>
            <w:vAlign w:val="center"/>
          </w:tcPr>
          <w:p w14:paraId="685163E1">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v≥10</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367D96AD">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可以设置</w:t>
            </w:r>
          </w:p>
        </w:tc>
      </w:tr>
      <w:tr w14:paraId="189F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0" w:type="dxa"/>
            <w:tcBorders>
              <w:top w:val="single" w:color="auto" w:sz="4" w:space="0"/>
              <w:left w:val="single" w:color="auto" w:sz="4" w:space="0"/>
              <w:bottom w:val="single" w:color="auto" w:sz="4" w:space="0"/>
              <w:right w:val="single" w:color="auto" w:sz="4" w:space="0"/>
            </w:tcBorders>
            <w:shd w:val="clear" w:color="auto" w:fill="auto"/>
            <w:vAlign w:val="center"/>
          </w:tcPr>
          <w:p w14:paraId="3EC001FC">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v＜10</w:t>
            </w:r>
          </w:p>
        </w:tc>
        <w:tc>
          <w:tcPr>
            <w:tcW w:w="3136" w:type="dxa"/>
            <w:tcBorders>
              <w:top w:val="single" w:color="auto" w:sz="4" w:space="0"/>
              <w:left w:val="single" w:color="auto" w:sz="4" w:space="0"/>
              <w:bottom w:val="single" w:color="auto" w:sz="4" w:space="0"/>
              <w:right w:val="single" w:color="auto" w:sz="4" w:space="0"/>
            </w:tcBorders>
            <w:shd w:val="clear" w:color="auto" w:fill="auto"/>
            <w:vAlign w:val="center"/>
          </w:tcPr>
          <w:p w14:paraId="4E8A6F03">
            <w:pPr>
              <w:spacing w:line="240" w:lineRule="auto"/>
              <w:jc w:val="center"/>
              <w:rPr>
                <w:rFonts w:ascii="宋体" w:hAnsi="宋体" w:cs="宋体"/>
                <w:kern w:val="0"/>
                <w:sz w:val="20"/>
                <w:szCs w:val="20"/>
                <w:lang w:bidi="ar"/>
              </w:rPr>
            </w:pPr>
            <w:r>
              <w:rPr>
                <w:rFonts w:hint="eastAsia" w:ascii="宋体" w:hAnsi="宋体" w:cs="宋体"/>
                <w:kern w:val="0"/>
                <w:sz w:val="20"/>
                <w:szCs w:val="20"/>
                <w:lang w:bidi="ar"/>
              </w:rPr>
              <w:t>不可设置</w:t>
            </w:r>
          </w:p>
        </w:tc>
      </w:tr>
    </w:tbl>
    <w:p w14:paraId="62CD8AF8">
      <w:pPr>
        <w:pStyle w:val="108"/>
        <w:numPr>
          <w:ilvl w:val="2"/>
          <w:numId w:val="32"/>
        </w:numPr>
        <w:spacing w:before="312" w:after="312"/>
        <w:outlineLvl w:val="1"/>
        <w:rPr>
          <w:rFonts w:hAnsi="黑体" w:cs="黑体"/>
        </w:rPr>
      </w:pPr>
      <w:r>
        <w:rPr>
          <w:rFonts w:hint="eastAsia" w:hAnsi="黑体" w:cs="黑体"/>
          <w:szCs w:val="21"/>
          <w:lang w:bidi="ar"/>
        </w:rPr>
        <w:t>停车位设计</w:t>
      </w:r>
    </w:p>
    <w:p w14:paraId="355088DB">
      <w:pPr>
        <w:pStyle w:val="108"/>
        <w:numPr>
          <w:ilvl w:val="3"/>
          <w:numId w:val="32"/>
        </w:numPr>
        <w:spacing w:before="0" w:beforeLines="0" w:after="0" w:afterLines="0"/>
        <w:outlineLvl w:val="9"/>
        <w:rPr>
          <w:rFonts w:ascii="宋体" w:hAnsi="宋体" w:eastAsia="宋体" w:cs="宋体"/>
          <w:lang w:bidi="ar"/>
        </w:rPr>
      </w:pPr>
      <w:r>
        <w:rPr>
          <w:rFonts w:hint="eastAsia" w:ascii="宋体" w:hAnsi="宋体" w:eastAsia="宋体" w:cs="宋体"/>
          <w:kern w:val="2"/>
          <w:szCs w:val="22"/>
          <w:lang w:bidi="ar"/>
        </w:rPr>
        <w:t>停车泊位排列形式分为：平行式见图1 a)、垂直式见图1 b）、倾斜式见图1 c）。</w:t>
      </w:r>
    </w:p>
    <w:p w14:paraId="708D15A0">
      <w:pPr>
        <w:spacing w:line="240" w:lineRule="auto"/>
        <w:ind w:firstLine="210" w:firstLineChars="100"/>
        <w:jc w:val="center"/>
        <w:rPr>
          <w:rFonts w:ascii="宋体" w:hAnsi="宋体" w:cs="宋体"/>
          <w:lang w:bidi="ar"/>
        </w:rPr>
      </w:pPr>
      <w:r>
        <w:rPr>
          <w:rFonts w:hint="eastAsia" w:ascii="宋体" w:hAnsi="宋体" w:cs="宋体"/>
          <w:lang w:bidi="ar"/>
        </w:rPr>
        <w:drawing>
          <wp:inline distT="0" distB="0" distL="114300" distR="114300">
            <wp:extent cx="4433570" cy="1000125"/>
            <wp:effectExtent l="0" t="0" r="508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0"/>
                    <a:stretch>
                      <a:fillRect/>
                    </a:stretch>
                  </pic:blipFill>
                  <pic:spPr>
                    <a:xfrm>
                      <a:off x="0" y="0"/>
                      <a:ext cx="4433570" cy="1000125"/>
                    </a:xfrm>
                    <a:prstGeom prst="rect">
                      <a:avLst/>
                    </a:prstGeom>
                  </pic:spPr>
                </pic:pic>
              </a:graphicData>
            </a:graphic>
          </wp:inline>
        </w:drawing>
      </w:r>
    </w:p>
    <w:p w14:paraId="05E4C713">
      <w:pPr>
        <w:spacing w:line="240" w:lineRule="auto"/>
        <w:ind w:firstLine="210" w:firstLineChars="100"/>
        <w:jc w:val="center"/>
        <w:rPr>
          <w:rFonts w:ascii="宋体" w:hAnsi="宋体" w:cs="宋体"/>
          <w:lang w:bidi="ar"/>
        </w:rPr>
      </w:pPr>
      <w:r>
        <w:rPr>
          <w:rFonts w:hint="eastAsia" w:ascii="宋体" w:hAnsi="宋体" w:cs="宋体"/>
          <w:lang w:bidi="ar"/>
        </w:rPr>
        <w:drawing>
          <wp:inline distT="0" distB="0" distL="114300" distR="114300">
            <wp:extent cx="4551045" cy="1621155"/>
            <wp:effectExtent l="0" t="0" r="190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21"/>
                    <a:stretch>
                      <a:fillRect/>
                    </a:stretch>
                  </pic:blipFill>
                  <pic:spPr>
                    <a:xfrm>
                      <a:off x="0" y="0"/>
                      <a:ext cx="4551045" cy="1621155"/>
                    </a:xfrm>
                    <a:prstGeom prst="rect">
                      <a:avLst/>
                    </a:prstGeom>
                  </pic:spPr>
                </pic:pic>
              </a:graphicData>
            </a:graphic>
          </wp:inline>
        </w:drawing>
      </w:r>
    </w:p>
    <w:p w14:paraId="687F6BEF">
      <w:pPr>
        <w:spacing w:line="240" w:lineRule="auto"/>
        <w:ind w:firstLine="210" w:firstLineChars="100"/>
        <w:jc w:val="center"/>
        <w:rPr>
          <w:rFonts w:ascii="宋体" w:hAnsi="宋体" w:cs="宋体"/>
          <w:sz w:val="18"/>
          <w:szCs w:val="18"/>
          <w:lang w:bidi="ar"/>
        </w:rPr>
      </w:pPr>
      <w:r>
        <w:rPr>
          <w:rFonts w:hint="eastAsia" w:ascii="宋体" w:hAnsi="宋体" w:cs="宋体"/>
          <w:lang w:bidi="ar"/>
        </w:rPr>
        <w:drawing>
          <wp:inline distT="0" distB="0" distL="114300" distR="114300">
            <wp:extent cx="4636135" cy="1341755"/>
            <wp:effectExtent l="0" t="0" r="12065" b="0"/>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22"/>
                    <a:stretch>
                      <a:fillRect/>
                    </a:stretch>
                  </pic:blipFill>
                  <pic:spPr>
                    <a:xfrm>
                      <a:off x="0" y="0"/>
                      <a:ext cx="4636135" cy="1341755"/>
                    </a:xfrm>
                    <a:prstGeom prst="rect">
                      <a:avLst/>
                    </a:prstGeom>
                  </pic:spPr>
                </pic:pic>
              </a:graphicData>
            </a:graphic>
          </wp:inline>
        </w:drawing>
      </w:r>
    </w:p>
    <w:p w14:paraId="275A0877">
      <w:pPr>
        <w:spacing w:after="156" w:afterLines="50"/>
        <w:jc w:val="center"/>
        <w:rPr>
          <w:rFonts w:ascii="宋体" w:hAnsi="宋体" w:cs="宋体"/>
          <w:sz w:val="18"/>
          <w:szCs w:val="20"/>
          <w:lang w:bidi="ar"/>
        </w:rPr>
      </w:pPr>
      <w:r>
        <w:rPr>
          <w:rFonts w:hint="eastAsia" w:ascii="宋体" w:hAnsi="宋体" w:cs="宋体"/>
          <w:sz w:val="18"/>
          <w:szCs w:val="20"/>
          <w:lang w:bidi="ar"/>
        </w:rPr>
        <w:t>图1 停车泊位排列形式</w:t>
      </w:r>
    </w:p>
    <w:p w14:paraId="3A49BCB5">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kern w:val="2"/>
          <w:szCs w:val="21"/>
          <w:lang w:bidi="ar"/>
        </w:rPr>
        <w:t>不同排列方式的停车位最小尺寸应符合表8.8的规定。采用平行式排列方式的停车位按尺寸分为大型停车位和小型停车位。当道路条件受限时，平行式小型停车位宽度可适当降低，但不应小于2m。</w:t>
      </w:r>
    </w:p>
    <w:p w14:paraId="14E68CBE">
      <w:pPr>
        <w:spacing w:line="240" w:lineRule="auto"/>
        <w:jc w:val="center"/>
        <w:rPr>
          <w:rFonts w:ascii="宋体" w:hAnsi="宋体" w:cs="宋体"/>
          <w:lang w:bidi="ar"/>
        </w:rPr>
      </w:pPr>
      <w:r>
        <w:rPr>
          <w:rFonts w:hint="eastAsia" w:ascii="宋体" w:hAnsi="宋体" w:cs="宋体"/>
          <w:lang w:bidi="ar"/>
        </w:rPr>
        <w:t>表</w:t>
      </w:r>
      <w:r>
        <w:rPr>
          <w:rFonts w:ascii="宋体" w:hAnsi="宋体" w:cs="宋体"/>
          <w:lang w:bidi="ar"/>
        </w:rPr>
        <w:t>8</w:t>
      </w:r>
      <w:r>
        <w:rPr>
          <w:rFonts w:hint="eastAsia" w:ascii="宋体" w:hAnsi="宋体" w:cs="宋体"/>
          <w:lang w:bidi="ar"/>
        </w:rPr>
        <w:t>.8 停车位最小尺寸</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2F56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DC1604">
            <w:pPr>
              <w:spacing w:line="240" w:lineRule="auto"/>
              <w:jc w:val="center"/>
              <w:rPr>
                <w:rFonts w:ascii="宋体" w:hAnsi="宋体" w:cs="宋体"/>
                <w:kern w:val="0"/>
                <w:lang w:bidi="ar"/>
              </w:rPr>
            </w:pPr>
            <w:r>
              <w:rPr>
                <w:rFonts w:hint="eastAsia" w:ascii="宋体" w:hAnsi="宋体" w:cs="宋体"/>
                <w:kern w:val="0"/>
                <w:lang w:bidi="ar"/>
              </w:rPr>
              <w:t>排列方式</w:t>
            </w:r>
          </w:p>
        </w:tc>
        <w:tc>
          <w:tcPr>
            <w:tcW w:w="27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D201E99">
            <w:pPr>
              <w:spacing w:line="240" w:lineRule="auto"/>
              <w:jc w:val="center"/>
              <w:rPr>
                <w:rFonts w:ascii="宋体" w:hAnsi="宋体" w:cs="宋体"/>
                <w:kern w:val="0"/>
                <w:lang w:bidi="ar"/>
              </w:rPr>
            </w:pPr>
            <w:r>
              <w:rPr>
                <w:rFonts w:hint="eastAsia" w:ascii="宋体" w:hAnsi="宋体" w:cs="宋体"/>
                <w:kern w:val="0"/>
                <w:lang w:bidi="ar"/>
              </w:rPr>
              <w:t>小型停车位（m）</w:t>
            </w:r>
          </w:p>
        </w:tc>
        <w:tc>
          <w:tcPr>
            <w:tcW w:w="27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6AE16C">
            <w:pPr>
              <w:spacing w:line="240" w:lineRule="auto"/>
              <w:jc w:val="center"/>
              <w:rPr>
                <w:rFonts w:ascii="宋体" w:hAnsi="宋体" w:cs="宋体"/>
                <w:kern w:val="0"/>
                <w:lang w:bidi="ar"/>
              </w:rPr>
            </w:pPr>
            <w:r>
              <w:rPr>
                <w:rFonts w:hint="eastAsia" w:ascii="宋体" w:hAnsi="宋体" w:cs="宋体"/>
                <w:kern w:val="0"/>
                <w:lang w:bidi="ar"/>
              </w:rPr>
              <w:t>大型停车位（m）</w:t>
            </w:r>
          </w:p>
        </w:tc>
      </w:tr>
      <w:tr w14:paraId="36B6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AD3C7C">
            <w:pPr>
              <w:spacing w:line="240" w:lineRule="auto"/>
              <w:rPr>
                <w:rFonts w:ascii="宋体" w:hAnsi="宋体" w:cs="宋体"/>
              </w:rPr>
            </w:pP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DE19995">
            <w:pPr>
              <w:spacing w:line="240" w:lineRule="auto"/>
              <w:jc w:val="center"/>
              <w:rPr>
                <w:rFonts w:ascii="宋体" w:hAnsi="宋体" w:cs="宋体"/>
                <w:kern w:val="0"/>
                <w:lang w:bidi="ar"/>
              </w:rPr>
            </w:pPr>
            <w:r>
              <w:rPr>
                <w:rFonts w:hint="eastAsia" w:ascii="宋体" w:hAnsi="宋体" w:cs="宋体"/>
                <w:kern w:val="0"/>
                <w:lang w:bidi="ar"/>
              </w:rPr>
              <w:t>L</w:t>
            </w:r>
            <w:r>
              <w:rPr>
                <w:rFonts w:hint="eastAsia" w:ascii="宋体" w:hAnsi="宋体" w:cs="宋体"/>
                <w:kern w:val="0"/>
                <w:vertAlign w:val="subscript"/>
                <w:lang w:bidi="ar"/>
              </w:rPr>
              <w: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0772EBE0">
            <w:pPr>
              <w:spacing w:line="240" w:lineRule="auto"/>
              <w:jc w:val="center"/>
              <w:rPr>
                <w:rFonts w:ascii="宋体" w:hAnsi="宋体" w:cs="宋体"/>
                <w:kern w:val="0"/>
                <w:lang w:bidi="ar"/>
              </w:rPr>
            </w:pPr>
            <w:r>
              <w:rPr>
                <w:rFonts w:hint="eastAsia" w:ascii="宋体" w:hAnsi="宋体" w:cs="宋体"/>
                <w:kern w:val="0"/>
                <w:lang w:bidi="ar"/>
              </w:rPr>
              <w:t>L</w:t>
            </w:r>
            <w:r>
              <w:rPr>
                <w:rFonts w:hint="eastAsia" w:ascii="宋体" w:hAnsi="宋体" w:cs="宋体"/>
                <w:kern w:val="0"/>
                <w:vertAlign w:val="subscript"/>
                <w:lang w:bidi="ar"/>
              </w:rPr>
              <w:t>b</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0260E5AF">
            <w:pPr>
              <w:spacing w:line="240" w:lineRule="auto"/>
              <w:jc w:val="center"/>
              <w:rPr>
                <w:rFonts w:ascii="宋体" w:hAnsi="宋体" w:cs="宋体"/>
                <w:kern w:val="0"/>
                <w:lang w:bidi="ar"/>
              </w:rPr>
            </w:pPr>
            <w:r>
              <w:rPr>
                <w:rFonts w:hint="eastAsia" w:ascii="宋体" w:hAnsi="宋体" w:cs="宋体"/>
                <w:kern w:val="0"/>
                <w:lang w:bidi="ar"/>
              </w:rPr>
              <w:t>L</w:t>
            </w:r>
            <w:r>
              <w:rPr>
                <w:rFonts w:hint="eastAsia" w:ascii="宋体" w:hAnsi="宋体" w:cs="宋体"/>
                <w:kern w:val="0"/>
                <w:vertAlign w:val="subscript"/>
                <w:lang w:bidi="ar"/>
              </w:rPr>
              <w:t>a</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5040A8BA">
            <w:pPr>
              <w:spacing w:line="240" w:lineRule="auto"/>
              <w:jc w:val="center"/>
              <w:rPr>
                <w:rFonts w:ascii="宋体" w:hAnsi="宋体" w:cs="宋体"/>
                <w:kern w:val="0"/>
                <w:lang w:bidi="ar"/>
              </w:rPr>
            </w:pPr>
            <w:r>
              <w:rPr>
                <w:rFonts w:hint="eastAsia" w:ascii="宋体" w:hAnsi="宋体" w:cs="宋体"/>
                <w:kern w:val="0"/>
                <w:lang w:bidi="ar"/>
              </w:rPr>
              <w:t>L</w:t>
            </w:r>
            <w:r>
              <w:rPr>
                <w:rFonts w:hint="eastAsia" w:ascii="宋体" w:hAnsi="宋体" w:cs="宋体"/>
                <w:kern w:val="0"/>
                <w:vertAlign w:val="subscript"/>
                <w:lang w:bidi="ar"/>
              </w:rPr>
              <w:t>b</w:t>
            </w:r>
          </w:p>
        </w:tc>
      </w:tr>
      <w:tr w14:paraId="425D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CD41EC">
            <w:pPr>
              <w:spacing w:line="240" w:lineRule="auto"/>
              <w:jc w:val="center"/>
              <w:rPr>
                <w:rFonts w:ascii="宋体" w:hAnsi="宋体" w:cs="宋体"/>
                <w:kern w:val="0"/>
                <w:lang w:bidi="ar"/>
              </w:rPr>
            </w:pPr>
            <w:r>
              <w:rPr>
                <w:rFonts w:hint="eastAsia" w:ascii="宋体" w:hAnsi="宋体" w:cs="宋体"/>
                <w:kern w:val="0"/>
                <w:lang w:bidi="ar"/>
              </w:rPr>
              <w:t>平行式</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5FA5E192">
            <w:pPr>
              <w:spacing w:line="240" w:lineRule="auto"/>
              <w:jc w:val="center"/>
              <w:rPr>
                <w:rFonts w:ascii="宋体" w:hAnsi="宋体" w:cs="宋体"/>
                <w:kern w:val="0"/>
                <w:lang w:bidi="ar"/>
              </w:rPr>
            </w:pPr>
            <w:r>
              <w:rPr>
                <w:rFonts w:hint="eastAsia" w:ascii="宋体" w:hAnsi="宋体" w:cs="宋体"/>
                <w:kern w:val="0"/>
                <w:lang w:bidi="ar"/>
              </w:rPr>
              <w:t>2.5</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5935FEBE">
            <w:pPr>
              <w:spacing w:line="240" w:lineRule="auto"/>
              <w:jc w:val="center"/>
              <w:rPr>
                <w:rFonts w:ascii="宋体" w:hAnsi="宋体" w:cs="宋体"/>
                <w:kern w:val="0"/>
                <w:lang w:bidi="ar"/>
              </w:rPr>
            </w:pPr>
            <w:r>
              <w:rPr>
                <w:rFonts w:hint="eastAsia" w:ascii="宋体" w:hAnsi="宋体" w:cs="宋体"/>
                <w:kern w:val="0"/>
                <w:lang w:bidi="ar"/>
              </w:rPr>
              <w:t>6</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BECAC71">
            <w:pPr>
              <w:spacing w:line="240" w:lineRule="auto"/>
              <w:jc w:val="center"/>
              <w:rPr>
                <w:rFonts w:ascii="宋体" w:hAnsi="宋体" w:cs="宋体"/>
                <w:kern w:val="0"/>
                <w:lang w:bidi="ar"/>
              </w:rPr>
            </w:pPr>
            <w:r>
              <w:rPr>
                <w:rFonts w:hint="eastAsia" w:ascii="宋体" w:hAnsi="宋体" w:cs="宋体"/>
                <w:kern w:val="0"/>
                <w:lang w:bidi="ar"/>
              </w:rPr>
              <w:t>3.25</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7236FC6D">
            <w:pPr>
              <w:spacing w:line="240" w:lineRule="auto"/>
              <w:jc w:val="center"/>
              <w:rPr>
                <w:rFonts w:ascii="宋体" w:hAnsi="宋体" w:cs="宋体"/>
                <w:kern w:val="0"/>
                <w:lang w:bidi="ar"/>
              </w:rPr>
            </w:pPr>
            <w:r>
              <w:rPr>
                <w:rFonts w:hint="eastAsia" w:ascii="宋体" w:hAnsi="宋体" w:cs="宋体"/>
                <w:kern w:val="0"/>
                <w:lang w:bidi="ar"/>
              </w:rPr>
              <w:t>15.6</w:t>
            </w:r>
          </w:p>
        </w:tc>
      </w:tr>
      <w:tr w14:paraId="0BE2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80E589">
            <w:pPr>
              <w:spacing w:line="240" w:lineRule="auto"/>
              <w:jc w:val="center"/>
              <w:rPr>
                <w:rFonts w:ascii="宋体" w:hAnsi="宋体" w:cs="宋体"/>
                <w:kern w:val="0"/>
                <w:lang w:bidi="ar"/>
              </w:rPr>
            </w:pPr>
            <w:r>
              <w:rPr>
                <w:rFonts w:hint="eastAsia" w:ascii="宋体" w:hAnsi="宋体" w:cs="宋体"/>
                <w:kern w:val="0"/>
                <w:lang w:bidi="ar"/>
              </w:rPr>
              <w:t>倾斜式</w:t>
            </w:r>
          </w:p>
          <w:p w14:paraId="425225B3">
            <w:pPr>
              <w:spacing w:line="240" w:lineRule="auto"/>
              <w:jc w:val="center"/>
              <w:rPr>
                <w:rFonts w:ascii="宋体" w:hAnsi="宋体" w:cs="宋体"/>
                <w:kern w:val="0"/>
                <w:lang w:bidi="ar"/>
              </w:rPr>
            </w:pPr>
            <w:r>
              <w:rPr>
                <w:rFonts w:hint="eastAsia" w:ascii="宋体" w:hAnsi="宋体" w:cs="宋体"/>
                <w:kern w:val="0"/>
                <w:lang w:bidi="ar"/>
              </w:rPr>
              <w:t>（倾斜角α）</w:t>
            </w: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40390138">
            <w:pPr>
              <w:spacing w:line="240" w:lineRule="auto"/>
              <w:jc w:val="center"/>
              <w:rPr>
                <w:rFonts w:ascii="宋体" w:hAnsi="宋体" w:cs="宋体"/>
                <w:kern w:val="0"/>
                <w:lang w:bidi="ar"/>
              </w:rPr>
            </w:pPr>
            <w:r>
              <w:rPr>
                <w:rFonts w:hint="eastAsia" w:ascii="宋体" w:hAnsi="宋体" w:cs="宋体"/>
                <w:kern w:val="0"/>
                <w:lang w:bidi="ar"/>
              </w:rPr>
              <w:t>30°</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35B2D05">
            <w:pPr>
              <w:spacing w:line="240" w:lineRule="auto"/>
              <w:jc w:val="center"/>
              <w:rPr>
                <w:rFonts w:ascii="宋体" w:hAnsi="宋体" w:cs="宋体"/>
                <w:kern w:val="0"/>
                <w:lang w:bidi="ar"/>
              </w:rPr>
            </w:pPr>
            <w:r>
              <w:rPr>
                <w:rFonts w:hint="eastAsia" w:ascii="宋体" w:hAnsi="宋体" w:cs="宋体"/>
                <w:kern w:val="0"/>
                <w:lang w:bidi="ar"/>
              </w:rPr>
              <w:t>4.8</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22FE4C0C">
            <w:pPr>
              <w:spacing w:line="240" w:lineRule="auto"/>
              <w:jc w:val="center"/>
              <w:rPr>
                <w:rFonts w:ascii="宋体" w:hAnsi="宋体" w:cs="宋体"/>
                <w:kern w:val="0"/>
                <w:lang w:bidi="ar"/>
              </w:rPr>
            </w:pPr>
            <w:r>
              <w:rPr>
                <w:rFonts w:hint="eastAsia" w:ascii="宋体" w:hAnsi="宋体" w:cs="宋体"/>
                <w:kern w:val="0"/>
                <w:lang w:bidi="ar"/>
              </w:rPr>
              <w:t>4.8</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0EED2A61">
            <w:pPr>
              <w:spacing w:line="240" w:lineRule="auto"/>
              <w:jc w:val="center"/>
              <w:rPr>
                <w:rFonts w:ascii="宋体" w:hAnsi="宋体" w:cs="宋体"/>
                <w:kern w:val="0"/>
                <w:lang w:bidi="ar"/>
              </w:rPr>
            </w:pPr>
            <w:r>
              <w:rPr>
                <w:rFonts w:hint="eastAsia" w:ascii="宋体" w:hAnsi="宋体" w:cs="宋体"/>
                <w:kern w:val="0"/>
                <w:lang w:bidi="ar"/>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15EDB2C9">
            <w:pPr>
              <w:spacing w:line="240" w:lineRule="auto"/>
              <w:jc w:val="center"/>
              <w:rPr>
                <w:rFonts w:ascii="宋体" w:hAnsi="宋体" w:cs="宋体"/>
                <w:kern w:val="0"/>
                <w:lang w:bidi="ar"/>
              </w:rPr>
            </w:pPr>
            <w:r>
              <w:rPr>
                <w:rFonts w:hint="eastAsia" w:ascii="宋体" w:hAnsi="宋体" w:cs="宋体"/>
                <w:kern w:val="0"/>
                <w:lang w:bidi="ar"/>
              </w:rPr>
              <w:t>—</w:t>
            </w:r>
          </w:p>
        </w:tc>
      </w:tr>
      <w:tr w14:paraId="258F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43E404">
            <w:pPr>
              <w:spacing w:line="240" w:lineRule="auto"/>
              <w:rPr>
                <w:rFonts w:ascii="宋体" w:hAnsi="宋体" w:cs="宋体"/>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2F2F0FB6">
            <w:pPr>
              <w:spacing w:line="240" w:lineRule="auto"/>
              <w:jc w:val="center"/>
              <w:rPr>
                <w:rFonts w:ascii="宋体" w:hAnsi="宋体" w:cs="宋体"/>
                <w:kern w:val="0"/>
                <w:lang w:bidi="ar"/>
              </w:rPr>
            </w:pPr>
            <w:r>
              <w:rPr>
                <w:rFonts w:hint="eastAsia" w:ascii="宋体" w:hAnsi="宋体" w:cs="宋体"/>
                <w:kern w:val="0"/>
                <w:lang w:bidi="ar"/>
              </w:rPr>
              <w:t>45°</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741A2074">
            <w:pPr>
              <w:spacing w:line="240" w:lineRule="auto"/>
              <w:jc w:val="center"/>
              <w:rPr>
                <w:rFonts w:ascii="宋体" w:hAnsi="宋体" w:cs="宋体"/>
                <w:kern w:val="0"/>
                <w:lang w:bidi="ar"/>
              </w:rPr>
            </w:pPr>
            <w:r>
              <w:rPr>
                <w:rFonts w:hint="eastAsia" w:ascii="宋体" w:hAnsi="宋体" w:cs="宋体"/>
                <w:kern w:val="0"/>
                <w:lang w:bidi="ar"/>
              </w:rPr>
              <w:t>5.5</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23D03DEA">
            <w:pPr>
              <w:spacing w:line="240" w:lineRule="auto"/>
              <w:jc w:val="center"/>
              <w:rPr>
                <w:rFonts w:ascii="宋体" w:hAnsi="宋体" w:cs="宋体"/>
                <w:kern w:val="0"/>
                <w:lang w:bidi="ar"/>
              </w:rPr>
            </w:pPr>
            <w:r>
              <w:rPr>
                <w:rFonts w:hint="eastAsia" w:ascii="宋体" w:hAnsi="宋体" w:cs="宋体"/>
                <w:kern w:val="0"/>
                <w:lang w:bidi="ar"/>
              </w:rPr>
              <w:t>3.4</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8FBEFDD">
            <w:pPr>
              <w:spacing w:line="240" w:lineRule="auto"/>
              <w:jc w:val="center"/>
              <w:rPr>
                <w:rFonts w:ascii="宋体" w:hAnsi="宋体" w:cs="宋体"/>
                <w:kern w:val="0"/>
                <w:lang w:bidi="ar"/>
              </w:rPr>
            </w:pPr>
            <w:r>
              <w:rPr>
                <w:rFonts w:hint="eastAsia" w:ascii="宋体" w:hAnsi="宋体" w:cs="宋体"/>
                <w:kern w:val="0"/>
                <w:lang w:bidi="ar"/>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436196EB">
            <w:pPr>
              <w:spacing w:line="240" w:lineRule="auto"/>
              <w:jc w:val="center"/>
              <w:rPr>
                <w:rFonts w:ascii="宋体" w:hAnsi="宋体" w:cs="宋体"/>
                <w:kern w:val="0"/>
                <w:lang w:bidi="ar"/>
              </w:rPr>
            </w:pPr>
            <w:r>
              <w:rPr>
                <w:rFonts w:hint="eastAsia" w:ascii="宋体" w:hAnsi="宋体" w:cs="宋体"/>
                <w:kern w:val="0"/>
                <w:lang w:bidi="ar"/>
              </w:rPr>
              <w:t>—</w:t>
            </w:r>
          </w:p>
        </w:tc>
      </w:tr>
      <w:tr w14:paraId="2FB3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E3C031">
            <w:pPr>
              <w:spacing w:line="240" w:lineRule="auto"/>
              <w:rPr>
                <w:rFonts w:ascii="宋体" w:hAnsi="宋体" w:cs="宋体"/>
              </w:rPr>
            </w:pPr>
          </w:p>
        </w:tc>
        <w:tc>
          <w:tcPr>
            <w:tcW w:w="1382" w:type="dxa"/>
            <w:tcBorders>
              <w:top w:val="single" w:color="auto" w:sz="4" w:space="0"/>
              <w:left w:val="single" w:color="auto" w:sz="4" w:space="0"/>
              <w:bottom w:val="single" w:color="auto" w:sz="4" w:space="0"/>
              <w:right w:val="single" w:color="auto" w:sz="4" w:space="0"/>
            </w:tcBorders>
            <w:shd w:val="clear" w:color="auto" w:fill="auto"/>
            <w:vAlign w:val="center"/>
          </w:tcPr>
          <w:p w14:paraId="2BB6D673">
            <w:pPr>
              <w:spacing w:line="240" w:lineRule="auto"/>
              <w:jc w:val="center"/>
              <w:rPr>
                <w:rFonts w:ascii="宋体" w:hAnsi="宋体" w:cs="宋体"/>
                <w:kern w:val="0"/>
                <w:lang w:bidi="ar"/>
              </w:rPr>
            </w:pPr>
            <w:r>
              <w:rPr>
                <w:rFonts w:hint="eastAsia" w:ascii="宋体" w:hAnsi="宋体" w:cs="宋体"/>
                <w:kern w:val="0"/>
                <w:lang w:bidi="ar"/>
              </w:rPr>
              <w:t>60°</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5BDBCE4F">
            <w:pPr>
              <w:spacing w:line="240" w:lineRule="auto"/>
              <w:jc w:val="center"/>
              <w:rPr>
                <w:rFonts w:ascii="宋体" w:hAnsi="宋体" w:cs="宋体"/>
                <w:kern w:val="0"/>
                <w:lang w:bidi="ar"/>
              </w:rPr>
            </w:pPr>
            <w:r>
              <w:rPr>
                <w:rFonts w:hint="eastAsia" w:ascii="宋体" w:hAnsi="宋体" w:cs="宋体"/>
                <w:kern w:val="0"/>
                <w:lang w:bidi="ar"/>
              </w:rPr>
              <w:t>5.8</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6006225">
            <w:pPr>
              <w:spacing w:line="240" w:lineRule="auto"/>
              <w:jc w:val="center"/>
              <w:rPr>
                <w:rFonts w:ascii="宋体" w:hAnsi="宋体" w:cs="宋体"/>
                <w:kern w:val="0"/>
                <w:lang w:bidi="ar"/>
              </w:rPr>
            </w:pPr>
            <w:r>
              <w:rPr>
                <w:rFonts w:hint="eastAsia" w:ascii="宋体" w:hAnsi="宋体" w:cs="宋体"/>
                <w:kern w:val="0"/>
                <w:lang w:bidi="ar"/>
              </w:rPr>
              <w:t>2.8</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0BF79640">
            <w:pPr>
              <w:spacing w:line="240" w:lineRule="auto"/>
              <w:jc w:val="center"/>
              <w:rPr>
                <w:rFonts w:ascii="宋体" w:hAnsi="宋体" w:cs="宋体"/>
                <w:kern w:val="0"/>
                <w:lang w:bidi="ar"/>
              </w:rPr>
            </w:pPr>
            <w:r>
              <w:rPr>
                <w:rFonts w:hint="eastAsia" w:ascii="宋体" w:hAnsi="宋体" w:cs="宋体"/>
                <w:kern w:val="0"/>
                <w:lang w:bidi="ar"/>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6E66E256">
            <w:pPr>
              <w:spacing w:line="240" w:lineRule="auto"/>
              <w:jc w:val="center"/>
              <w:rPr>
                <w:rFonts w:ascii="宋体" w:hAnsi="宋体" w:cs="宋体"/>
                <w:kern w:val="0"/>
                <w:lang w:bidi="ar"/>
              </w:rPr>
            </w:pPr>
            <w:r>
              <w:rPr>
                <w:rFonts w:hint="eastAsia" w:ascii="宋体" w:hAnsi="宋体" w:cs="宋体"/>
                <w:kern w:val="0"/>
                <w:lang w:bidi="ar"/>
              </w:rPr>
              <w:t>—</w:t>
            </w:r>
          </w:p>
        </w:tc>
      </w:tr>
      <w:tr w14:paraId="198E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8F80A82">
            <w:pPr>
              <w:spacing w:line="240" w:lineRule="auto"/>
              <w:jc w:val="center"/>
              <w:rPr>
                <w:rFonts w:ascii="宋体" w:hAnsi="宋体" w:cs="宋体"/>
                <w:kern w:val="0"/>
                <w:lang w:bidi="ar"/>
              </w:rPr>
            </w:pPr>
            <w:r>
              <w:rPr>
                <w:rFonts w:hint="eastAsia" w:ascii="宋体" w:hAnsi="宋体" w:cs="宋体"/>
                <w:kern w:val="0"/>
                <w:lang w:bidi="ar"/>
              </w:rPr>
              <w:t>垂直式</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668F1F11">
            <w:pPr>
              <w:spacing w:line="240" w:lineRule="auto"/>
              <w:jc w:val="center"/>
              <w:rPr>
                <w:rFonts w:ascii="宋体" w:hAnsi="宋体" w:cs="宋体"/>
                <w:kern w:val="0"/>
                <w:lang w:bidi="ar"/>
              </w:rPr>
            </w:pPr>
            <w:r>
              <w:rPr>
                <w:rFonts w:hint="eastAsia" w:ascii="宋体" w:hAnsi="宋体" w:cs="宋体"/>
                <w:kern w:val="0"/>
                <w:lang w:bidi="ar"/>
              </w:rPr>
              <w:t>5.3</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3855D79B">
            <w:pPr>
              <w:spacing w:line="240" w:lineRule="auto"/>
              <w:jc w:val="center"/>
              <w:rPr>
                <w:rFonts w:ascii="宋体" w:hAnsi="宋体" w:cs="宋体"/>
                <w:kern w:val="0"/>
                <w:lang w:bidi="ar"/>
              </w:rPr>
            </w:pPr>
            <w:r>
              <w:rPr>
                <w:rFonts w:hint="eastAsia" w:ascii="宋体" w:hAnsi="宋体" w:cs="宋体"/>
                <w:kern w:val="0"/>
                <w:lang w:bidi="ar"/>
              </w:rPr>
              <w:t>2.4</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7D80BC76">
            <w:pPr>
              <w:spacing w:line="240" w:lineRule="auto"/>
              <w:jc w:val="center"/>
              <w:rPr>
                <w:rFonts w:ascii="宋体" w:hAnsi="宋体" w:cs="宋体"/>
                <w:kern w:val="0"/>
                <w:lang w:bidi="ar"/>
              </w:rPr>
            </w:pPr>
            <w:r>
              <w:rPr>
                <w:rFonts w:hint="eastAsia" w:ascii="宋体" w:hAnsi="宋体" w:cs="宋体"/>
                <w:kern w:val="0"/>
                <w:lang w:bidi="ar"/>
              </w:rPr>
              <w:t>—</w:t>
            </w:r>
          </w:p>
        </w:tc>
        <w:tc>
          <w:tcPr>
            <w:tcW w:w="1383" w:type="dxa"/>
            <w:tcBorders>
              <w:top w:val="single" w:color="auto" w:sz="4" w:space="0"/>
              <w:left w:val="single" w:color="auto" w:sz="4" w:space="0"/>
              <w:bottom w:val="single" w:color="auto" w:sz="4" w:space="0"/>
              <w:right w:val="single" w:color="auto" w:sz="4" w:space="0"/>
            </w:tcBorders>
            <w:shd w:val="clear" w:color="auto" w:fill="auto"/>
            <w:vAlign w:val="center"/>
          </w:tcPr>
          <w:p w14:paraId="6200AE83">
            <w:pPr>
              <w:spacing w:line="240" w:lineRule="auto"/>
              <w:jc w:val="center"/>
              <w:rPr>
                <w:rFonts w:ascii="宋体" w:hAnsi="宋体" w:cs="宋体"/>
                <w:kern w:val="0"/>
                <w:lang w:bidi="ar"/>
              </w:rPr>
            </w:pPr>
            <w:r>
              <w:rPr>
                <w:rFonts w:hint="eastAsia" w:ascii="宋体" w:hAnsi="宋体" w:cs="宋体"/>
                <w:kern w:val="0"/>
                <w:lang w:bidi="ar"/>
              </w:rPr>
              <w:t>—</w:t>
            </w:r>
          </w:p>
        </w:tc>
      </w:tr>
    </w:tbl>
    <w:p w14:paraId="0282A56D">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kern w:val="2"/>
          <w:szCs w:val="21"/>
          <w:lang w:bidi="ar"/>
        </w:rPr>
        <w:t>路内停车泊位的排列宜采用平行式，大型停车位不应采用倾斜式和垂直式的停放方式。</w:t>
      </w:r>
    </w:p>
    <w:p w14:paraId="479FA5F0">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kern w:val="2"/>
          <w:szCs w:val="21"/>
          <w:lang w:bidi="ar"/>
        </w:rPr>
        <w:t>平行式停车位与相邻的机动车道、非机动车道之间宜设置0.5m-1.0m的安全开门区。</w:t>
      </w:r>
    </w:p>
    <w:p w14:paraId="3E1816BB">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kern w:val="2"/>
          <w:szCs w:val="21"/>
          <w:lang w:bidi="ar"/>
        </w:rPr>
        <w:t>平行式停车位可每两个或多个车位相连组合设置。两个停车位一组设置时，每组停车位间隔距离不宜小于0.8m。多个停车位相连组合时，每组长度不宜大于60m，每组停车位间隔距离不应小于4m。</w:t>
      </w:r>
    </w:p>
    <w:p w14:paraId="390CF4AD">
      <w:pPr>
        <w:pStyle w:val="108"/>
        <w:numPr>
          <w:ilvl w:val="3"/>
          <w:numId w:val="32"/>
        </w:numPr>
        <w:spacing w:before="0" w:beforeLines="0" w:after="0" w:afterLines="0"/>
        <w:outlineLvl w:val="9"/>
        <w:rPr>
          <w:rFonts w:ascii="宋体" w:hAnsi="宋体" w:eastAsia="宋体" w:cs="宋体"/>
          <w:kern w:val="2"/>
          <w:szCs w:val="21"/>
          <w:lang w:bidi="ar"/>
        </w:rPr>
      </w:pPr>
      <w:r>
        <w:rPr>
          <w:rFonts w:hint="eastAsia" w:ascii="宋体" w:hAnsi="宋体" w:eastAsia="宋体" w:cs="宋体"/>
          <w:kern w:val="2"/>
          <w:szCs w:val="21"/>
          <w:lang w:bidi="ar"/>
        </w:rPr>
        <w:t>平行式小型停车位设置于停车带两端时，其长度可缩小至5m。平行式小型停车位两个一组设置时，其长度可缩小至5.5m。</w:t>
      </w:r>
    </w:p>
    <w:p w14:paraId="413CDF42">
      <w:pPr>
        <w:pStyle w:val="108"/>
        <w:spacing w:before="312" w:after="312"/>
      </w:pPr>
      <w:r>
        <w:rPr>
          <w:rFonts w:hint="eastAsia"/>
        </w:rPr>
        <w:t>无障碍停车位</w:t>
      </w:r>
    </w:p>
    <w:p w14:paraId="12E5A261">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szCs w:val="21"/>
        </w:rPr>
        <w:t>无障碍停车位应能便捷到达无障碍出入口或者无障碍竖向通行设施</w:t>
      </w:r>
      <w:r>
        <w:rPr>
          <w:rFonts w:hint="eastAsia" w:ascii="宋体" w:hAnsi="宋体" w:eastAsia="宋体" w:cs="宋体"/>
          <w:color w:val="000000"/>
          <w:szCs w:val="21"/>
        </w:rPr>
        <w:t>。</w:t>
      </w:r>
    </w:p>
    <w:p w14:paraId="6CA3934C">
      <w:pPr>
        <w:pStyle w:val="108"/>
        <w:numPr>
          <w:ilvl w:val="2"/>
          <w:numId w:val="32"/>
        </w:numPr>
        <w:spacing w:before="0" w:beforeLines="0" w:after="0" w:afterLines="0"/>
        <w:outlineLvl w:val="9"/>
        <w:rPr>
          <w:rFonts w:ascii="宋体" w:hAnsi="宋体" w:eastAsia="宋体" w:cs="宋体"/>
          <w:b/>
          <w:bCs/>
          <w:szCs w:val="21"/>
        </w:rPr>
      </w:pPr>
      <w:r>
        <w:rPr>
          <w:rFonts w:hint="eastAsia" w:ascii="宋体" w:hAnsi="宋体" w:eastAsia="宋体" w:cs="宋体"/>
          <w:szCs w:val="21"/>
        </w:rPr>
        <w:t>无障碍停车位的地面高差不应大于15mm，坡度不应大于1：50。</w:t>
      </w:r>
    </w:p>
    <w:p w14:paraId="39775BF8">
      <w:pPr>
        <w:pStyle w:val="108"/>
        <w:numPr>
          <w:ilvl w:val="2"/>
          <w:numId w:val="32"/>
        </w:numPr>
        <w:spacing w:before="0" w:beforeLines="0" w:after="0" w:afterLines="0"/>
        <w:outlineLvl w:val="9"/>
        <w:rPr>
          <w:rFonts w:ascii="宋体" w:hAnsi="宋体" w:eastAsia="宋体" w:cs="宋体"/>
          <w:szCs w:val="21"/>
        </w:rPr>
      </w:pPr>
      <w:r>
        <w:rPr>
          <w:rFonts w:hint="eastAsia" w:ascii="宋体" w:hAnsi="宋体" w:eastAsia="宋体" w:cs="宋体"/>
          <w:szCs w:val="21"/>
        </w:rPr>
        <w:t>无障碍机动车停车位的一侧应设宽度不小于1.20m的轮椅通道，相邻停车位可共用轮椅通道。轮椅通道与其所服务的停车位不应有高差，且应与无障碍通道衔接，与无障碍通道有高差处应设置至少1个缘石坡道。</w:t>
      </w:r>
    </w:p>
    <w:p w14:paraId="5B2F82E9">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无障碍非机动车停车位根据不同车型预留相应尺寸。</w:t>
      </w:r>
    </w:p>
    <w:p w14:paraId="770F9248">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无障碍停车位的地面应设置停车线、轮椅通道线和无障碍标志，并应设置引导标志指引到达。停车线应有足够的颜色亮度对比。</w:t>
      </w:r>
    </w:p>
    <w:p w14:paraId="20D310FE">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无障碍停车位与人行道地面有高差时，应设宽度不小于1.20</w:t>
      </w:r>
      <w:r>
        <w:rPr>
          <w:rFonts w:hint="eastAsia" w:ascii="宋体" w:hAnsi="宋体" w:eastAsia="宋体" w:cs="宋体"/>
          <w:szCs w:val="21"/>
        </w:rPr>
        <w:t>m的轮椅坡道</w:t>
      </w:r>
      <w:r>
        <w:rPr>
          <w:rFonts w:hint="eastAsia" w:ascii="宋体" w:hAnsi="宋体" w:eastAsia="宋体" w:cs="宋体"/>
          <w:color w:val="000000"/>
          <w:szCs w:val="21"/>
        </w:rPr>
        <w:t>。</w:t>
      </w:r>
    </w:p>
    <w:p w14:paraId="510F0962">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无障碍停车位应在泊位后轮处设置车挡器。</w:t>
      </w:r>
    </w:p>
    <w:p w14:paraId="6F85E568">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中型及以上停车场应设专用轮椅通道，并与无障碍停车位轮椅通道和停车场入口连接。</w:t>
      </w:r>
    </w:p>
    <w:p w14:paraId="0B5ADA9C">
      <w:pPr>
        <w:pStyle w:val="108"/>
        <w:numPr>
          <w:ilvl w:val="2"/>
          <w:numId w:val="32"/>
        </w:numPr>
        <w:spacing w:before="0" w:beforeLines="0" w:after="0" w:afterLines="0"/>
        <w:outlineLvl w:val="9"/>
        <w:rPr>
          <w:rFonts w:ascii="宋体" w:hAnsi="宋体" w:eastAsia="宋体" w:cs="宋体"/>
          <w:color w:val="000000"/>
          <w:szCs w:val="21"/>
        </w:rPr>
      </w:pPr>
      <w:r>
        <w:rPr>
          <w:rFonts w:hint="eastAsia" w:ascii="宋体" w:hAnsi="宋体" w:eastAsia="宋体" w:cs="宋体"/>
          <w:color w:val="000000"/>
          <w:szCs w:val="21"/>
        </w:rPr>
        <w:t>无障碍停车位及上/落客区应满足《福建省无障碍设施设计标准》DBJ/T 13-423要求。</w:t>
      </w:r>
    </w:p>
    <w:p w14:paraId="35F743A9">
      <w:pPr>
        <w:pStyle w:val="108"/>
        <w:spacing w:before="312" w:after="312"/>
      </w:pPr>
      <w:r>
        <w:rPr>
          <w:rFonts w:hint="eastAsia"/>
        </w:rPr>
        <w:t>电动汽车分散充电设施</w:t>
      </w:r>
    </w:p>
    <w:p w14:paraId="77E33563">
      <w:pPr>
        <w:pStyle w:val="108"/>
        <w:numPr>
          <w:ilvl w:val="2"/>
          <w:numId w:val="32"/>
        </w:numPr>
        <w:spacing w:before="312" w:after="312"/>
        <w:outlineLvl w:val="1"/>
      </w:pPr>
      <w:r>
        <w:rPr>
          <w:rFonts w:hint="eastAsia" w:hAnsi="黑体" w:cs="黑体"/>
          <w:szCs w:val="21"/>
          <w:lang w:bidi="ar"/>
        </w:rPr>
        <w:t>一般规定</w:t>
      </w:r>
    </w:p>
    <w:p w14:paraId="6209DC45">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color w:val="000000"/>
          <w:szCs w:val="21"/>
          <w:shd w:val="clear" w:color="auto" w:fill="FFFFFF"/>
        </w:rPr>
        <w:t>电动汽车充电基础设施应与建筑一体化同步设计。</w:t>
      </w:r>
    </w:p>
    <w:p w14:paraId="5FD23E09">
      <w:pPr>
        <w:pStyle w:val="108"/>
        <w:numPr>
          <w:ilvl w:val="3"/>
          <w:numId w:val="32"/>
        </w:numPr>
        <w:spacing w:before="0" w:beforeLines="0" w:after="0" w:afterLines="0"/>
        <w:outlineLvl w:val="9"/>
        <w:rPr>
          <w:rFonts w:ascii="宋体" w:hAnsi="宋体" w:eastAsia="宋体" w:cs="宋体"/>
          <w:b/>
          <w:bCs/>
          <w:color w:val="000000"/>
          <w:szCs w:val="21"/>
          <w:shd w:val="clear" w:color="auto" w:fill="FFFFFF"/>
        </w:rPr>
      </w:pPr>
      <w:bookmarkStart w:id="48" w:name="书签24：福建省充电汽车基础设施建设技术规程"/>
      <w:r>
        <w:rPr>
          <w:rFonts w:hint="eastAsia" w:ascii="宋体" w:hAnsi="宋体" w:eastAsia="宋体" w:cs="宋体"/>
          <w:color w:val="000000"/>
          <w:szCs w:val="21"/>
          <w:shd w:val="clear" w:color="auto" w:fill="FFFFFF"/>
        </w:rPr>
        <w:t>新建公共停车场（库）电动汽车充电停车位配置数量不应小于机动车停车位数量20%，快充停车配置数量不应少于充电停车位总数的45%。</w:t>
      </w:r>
    </w:p>
    <w:bookmarkEnd w:id="48"/>
    <w:p w14:paraId="5E4A8EB3">
      <w:pPr>
        <w:pStyle w:val="108"/>
        <w:numPr>
          <w:ilvl w:val="3"/>
          <w:numId w:val="32"/>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在用户居住地停车位、单位停车场配建的充电设备应采用交流充电方式,公共建筑物停车场、社会公共停车场、路内临时停车位配建充电设备宜采用直流充电方式。</w:t>
      </w:r>
    </w:p>
    <w:p w14:paraId="02DECFF1">
      <w:pPr>
        <w:pStyle w:val="108"/>
        <w:numPr>
          <w:ilvl w:val="3"/>
          <w:numId w:val="32"/>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电动汽车充换电设施的选址要求、消防设施，智能化设施、标志标识等应符合现行行业标准《电动汽车分散充电设施工程技术标准》GB/T 51313、《电动汽车充换电设施建设技术导则》NB/T33009、《福建省电动汽车充电基础设施建设技术规程》的有关规定。</w:t>
      </w:r>
    </w:p>
    <w:p w14:paraId="047BC091">
      <w:pPr>
        <w:pStyle w:val="108"/>
        <w:numPr>
          <w:ilvl w:val="3"/>
          <w:numId w:val="32"/>
        </w:numPr>
        <w:spacing w:before="0" w:beforeLines="0" w:after="0" w:afterLines="0"/>
        <w:outlineLvl w:val="9"/>
        <w:rPr>
          <w:rFonts w:ascii="宋体" w:hAnsi="宋体" w:eastAsia="宋体" w:cs="宋体"/>
          <w:strike/>
          <w:szCs w:val="21"/>
        </w:rPr>
      </w:pPr>
      <w:r>
        <w:rPr>
          <w:rFonts w:hint="eastAsia" w:ascii="宋体" w:hAnsi="宋体" w:eastAsia="宋体" w:cs="宋体"/>
          <w:color w:val="000000"/>
          <w:szCs w:val="21"/>
          <w:shd w:val="clear" w:color="auto" w:fill="FFFFFF"/>
        </w:rPr>
        <w:t>室外充电设备外壳应采用不锈钢、铝合金和其他适合沿海地区使用的防腐蚀材料。室外设备外壳防护等级不应小于IP54。带有自动喷水灭火系统的室内充电设施的设备外壳防护等级不应小于IP54。</w:t>
      </w:r>
    </w:p>
    <w:p w14:paraId="0C18B9AB">
      <w:pPr>
        <w:pStyle w:val="108"/>
        <w:numPr>
          <w:ilvl w:val="3"/>
          <w:numId w:val="32"/>
        </w:numPr>
        <w:spacing w:before="0" w:beforeLines="0" w:after="0" w:afterLines="0"/>
        <w:outlineLvl w:val="9"/>
        <w:rPr>
          <w:rFonts w:ascii="宋体" w:hAnsi="宋体" w:eastAsia="宋体" w:cs="宋体"/>
          <w:szCs w:val="21"/>
          <w:lang w:bidi="ar"/>
        </w:rPr>
      </w:pPr>
      <w:r>
        <w:rPr>
          <w:rFonts w:hint="eastAsia" w:ascii="宋体" w:hAnsi="宋体" w:eastAsia="宋体" w:cs="宋体"/>
          <w:szCs w:val="21"/>
          <w:lang w:bidi="ar"/>
        </w:rPr>
        <w:t>停车电动汽车充电设施应设电击防护措施，其末端配电箱配出回路的保护应符合下列规定：</w:t>
      </w:r>
    </w:p>
    <w:p w14:paraId="21D0F028">
      <w:pPr>
        <w:pStyle w:val="108"/>
        <w:numPr>
          <w:ilvl w:val="1"/>
          <w:numId w:val="0"/>
        </w:numPr>
        <w:spacing w:before="0" w:beforeLines="0" w:after="0" w:afterLines="0"/>
        <w:ind w:firstLine="630" w:firstLineChars="300"/>
        <w:jc w:val="left"/>
        <w:outlineLvl w:val="9"/>
      </w:pPr>
      <w:r>
        <w:rPr>
          <w:rFonts w:hint="eastAsia" w:hAnsi="黑体" w:cs="黑体"/>
          <w:szCs w:val="21"/>
          <w:lang w:bidi="ar"/>
        </w:rPr>
        <w:t>1</w:t>
      </w:r>
      <w:r>
        <w:rPr>
          <w:rFonts w:hint="eastAsia" w:ascii="宋体" w:hAnsi="宋体" w:eastAsia="宋体" w:cs="宋体"/>
          <w:szCs w:val="21"/>
          <w:lang w:bidi="ar"/>
        </w:rPr>
        <w:t xml:space="preserve">  应设置过载、短路等故障保护；</w:t>
      </w:r>
      <w:r>
        <w:rPr>
          <w:rFonts w:hint="eastAsia" w:ascii="宋体" w:hAnsi="宋体" w:eastAsia="宋体" w:cs="宋体"/>
          <w:szCs w:val="21"/>
          <w:lang w:bidi="ar"/>
        </w:rPr>
        <w:br w:type="textWrapping"/>
      </w:r>
      <w:r>
        <w:rPr>
          <w:rFonts w:hint="eastAsia" w:ascii="宋体" w:hAnsi="宋体" w:eastAsia="宋体" w:cs="宋体"/>
          <w:szCs w:val="21"/>
          <w:lang w:bidi="ar"/>
        </w:rPr>
        <w:t xml:space="preserve">  </w:t>
      </w:r>
      <w:r>
        <w:rPr>
          <w:rFonts w:hint="eastAsia" w:ascii="宋体" w:hAnsi="宋体" w:cs="宋体"/>
          <w:szCs w:val="21"/>
          <w:lang w:bidi="ar"/>
        </w:rPr>
        <w:t xml:space="preserve">  </w:t>
      </w:r>
      <w:r>
        <w:rPr>
          <w:rFonts w:hint="eastAsia" w:ascii="宋体" w:hAnsi="宋体" w:eastAsia="宋体" w:cs="宋体"/>
          <w:szCs w:val="21"/>
          <w:lang w:bidi="ar"/>
        </w:rPr>
        <w:t xml:space="preserve">  </w:t>
      </w:r>
      <w:r>
        <w:rPr>
          <w:rFonts w:hint="eastAsia" w:hAnsi="黑体" w:cs="黑体"/>
          <w:szCs w:val="21"/>
          <w:lang w:bidi="ar"/>
        </w:rPr>
        <w:t>2</w:t>
      </w:r>
      <w:r>
        <w:rPr>
          <w:rFonts w:hint="eastAsia" w:ascii="宋体" w:hAnsi="宋体" w:eastAsia="宋体" w:cs="宋体"/>
          <w:szCs w:val="21"/>
          <w:lang w:bidi="ar"/>
        </w:rPr>
        <w:t xml:space="preserve">  交流充电桩应单独设置A型或B型的RCD保护，其额定剩余动作电流不超过30mA，且RCD应切断包括中性导体在内的所有带电导体；多台充电设备不应共用一个RCD保护；</w:t>
      </w:r>
      <w:r>
        <w:rPr>
          <w:rFonts w:hint="eastAsia" w:ascii="宋体" w:hAnsi="宋体" w:eastAsia="宋体" w:cs="宋体"/>
          <w:szCs w:val="21"/>
          <w:lang w:bidi="ar"/>
        </w:rPr>
        <w:br w:type="textWrapping"/>
      </w:r>
      <w:r>
        <w:rPr>
          <w:rFonts w:hint="eastAsia" w:ascii="宋体" w:hAnsi="宋体" w:eastAsia="宋体" w:cs="宋体"/>
          <w:szCs w:val="21"/>
          <w:lang w:bidi="ar"/>
        </w:rPr>
        <w:t xml:space="preserve">   </w:t>
      </w:r>
      <w:r>
        <w:rPr>
          <w:rFonts w:hint="eastAsia" w:ascii="宋体" w:hAnsi="宋体" w:cs="宋体"/>
          <w:szCs w:val="21"/>
          <w:lang w:bidi="ar"/>
        </w:rPr>
        <w:t xml:space="preserve">  </w:t>
      </w:r>
      <w:r>
        <w:rPr>
          <w:rFonts w:hint="eastAsia" w:ascii="宋体" w:hAnsi="宋体" w:eastAsia="宋体" w:cs="宋体"/>
          <w:szCs w:val="21"/>
          <w:lang w:bidi="ar"/>
        </w:rPr>
        <w:t xml:space="preserve"> </w:t>
      </w:r>
      <w:r>
        <w:rPr>
          <w:rFonts w:hint="eastAsia" w:hAnsi="黑体" w:cs="黑体"/>
          <w:szCs w:val="21"/>
          <w:lang w:bidi="ar"/>
        </w:rPr>
        <w:t>3</w:t>
      </w:r>
      <w:r>
        <w:rPr>
          <w:rFonts w:hint="eastAsia" w:ascii="宋体" w:hAnsi="宋体" w:eastAsia="宋体" w:cs="宋体"/>
          <w:szCs w:val="21"/>
          <w:lang w:bidi="ar"/>
        </w:rPr>
        <w:t xml:space="preserve">  充电桩末端供电回路应设置限流式电气防火保护器。</w:t>
      </w:r>
      <w:r>
        <w:rPr>
          <w:rFonts w:hint="eastAsia" w:ascii="宋体" w:hAnsi="宋体" w:eastAsia="宋体" w:cs="宋体"/>
          <w:szCs w:val="21"/>
          <w:lang w:bidi="ar"/>
        </w:rPr>
        <w:br w:type="textWrapping"/>
      </w:r>
      <w:r>
        <w:rPr>
          <w:rFonts w:hint="eastAsia" w:ascii="宋体" w:hAnsi="宋体" w:eastAsia="宋体" w:cs="宋体"/>
          <w:szCs w:val="21"/>
          <w:lang w:bidi="ar"/>
        </w:rPr>
        <w:t>路内停车位的设置应进行可行性评价和使用效果评价，制定相应的效益评估和退出机制。</w:t>
      </w:r>
    </w:p>
    <w:p w14:paraId="3F9329CD">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color w:val="000000"/>
          <w:szCs w:val="21"/>
          <w:lang w:bidi="ar"/>
        </w:rPr>
        <w:t>电动汽车充电设施的设计应使用先进的新技术、新材料、新设备，满足当前电动汽车的充电需求，并支持未来的发展要求。</w:t>
      </w:r>
    </w:p>
    <w:p w14:paraId="0F0D9C24">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color w:val="000000"/>
          <w:szCs w:val="21"/>
          <w:lang w:bidi="ar"/>
        </w:rPr>
        <w:t>电动汽车充电设施的设计应满足使用环境所需的防尘、防水、防锈蚀等保护。</w:t>
      </w:r>
    </w:p>
    <w:p w14:paraId="09FECD66">
      <w:pPr>
        <w:pStyle w:val="108"/>
        <w:numPr>
          <w:ilvl w:val="3"/>
          <w:numId w:val="32"/>
        </w:numPr>
        <w:spacing w:before="0" w:beforeLines="0" w:after="0" w:afterLines="0"/>
        <w:outlineLvl w:val="9"/>
        <w:rPr>
          <w:rFonts w:ascii="宋体" w:hAnsi="宋体" w:eastAsia="宋体" w:cs="宋体"/>
          <w:color w:val="000000"/>
          <w:szCs w:val="21"/>
          <w:lang w:bidi="ar"/>
        </w:rPr>
      </w:pPr>
      <w:r>
        <w:rPr>
          <w:rFonts w:hint="eastAsia" w:ascii="宋体" w:hAnsi="宋体" w:eastAsia="宋体" w:cs="宋体"/>
          <w:color w:val="000000"/>
          <w:szCs w:val="21"/>
          <w:lang w:bidi="ar"/>
        </w:rPr>
        <w:t>根据不同的安装场所，电动汽车充电设施在使用时的噪声应符合相关法律法规的要求。</w:t>
      </w:r>
    </w:p>
    <w:p w14:paraId="221105CD">
      <w:pPr>
        <w:pStyle w:val="108"/>
        <w:numPr>
          <w:ilvl w:val="2"/>
          <w:numId w:val="32"/>
        </w:numPr>
        <w:spacing w:before="312" w:after="312"/>
        <w:outlineLvl w:val="1"/>
      </w:pPr>
      <w:r>
        <w:rPr>
          <w:rFonts w:hint="eastAsia" w:hAnsi="黑体" w:cs="黑体"/>
          <w:szCs w:val="21"/>
          <w:lang w:bidi="ar"/>
        </w:rPr>
        <w:t>设计要求</w:t>
      </w:r>
    </w:p>
    <w:p w14:paraId="591C02AD">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汽车库内设置充电基础设施的区域应划分防火单元。防火单元应符合以下规定：</w:t>
      </w:r>
    </w:p>
    <w:p w14:paraId="4C787DCF">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1</w:t>
      </w:r>
      <w:r>
        <w:rPr>
          <w:rFonts w:hint="eastAsia" w:ascii="宋体" w:hAnsi="宋体" w:cs="宋体"/>
          <w:kern w:val="0"/>
          <w:shd w:val="clear" w:color="auto" w:fill="FFFFFF"/>
        </w:rPr>
        <w:t xml:space="preserve">  地下室、高层汽车库的每个防火单元内停车数量</w:t>
      </w:r>
      <w:r>
        <w:rPr>
          <w:rFonts w:hint="eastAsia" w:ascii="宋体" w:hAnsi="宋体" w:cs="宋体"/>
          <w:kern w:val="0"/>
          <w:shd w:val="clear" w:color="auto" w:fill="FFFFFF"/>
          <w:lang w:val="en-US" w:eastAsia="zh-CN"/>
        </w:rPr>
        <w:t>宜</w:t>
      </w:r>
      <w:r>
        <w:rPr>
          <w:rFonts w:hint="eastAsia" w:ascii="宋体" w:hAnsi="宋体" w:cs="宋体"/>
          <w:kern w:val="0"/>
          <w:shd w:val="clear" w:color="auto" w:fill="FFFFFF"/>
        </w:rPr>
        <w:t>≤20辆；半地下、单层、多层汽车库的每个防火单元内停车数量</w:t>
      </w:r>
      <w:r>
        <w:rPr>
          <w:rFonts w:hint="eastAsia" w:ascii="宋体" w:hAnsi="宋体" w:cs="宋体"/>
          <w:kern w:val="0"/>
          <w:shd w:val="clear" w:color="auto" w:fill="FFFFFF"/>
          <w:lang w:val="en-US" w:eastAsia="zh-CN"/>
        </w:rPr>
        <w:t>宜</w:t>
      </w:r>
      <w:r>
        <w:rPr>
          <w:rFonts w:hint="eastAsia" w:ascii="宋体" w:hAnsi="宋体" w:cs="宋体"/>
          <w:kern w:val="0"/>
          <w:shd w:val="clear" w:color="auto" w:fill="FFFFFF"/>
        </w:rPr>
        <w:t>≤50辆。</w:t>
      </w:r>
    </w:p>
    <w:p w14:paraId="522A42CF">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2</w:t>
      </w:r>
      <w:r>
        <w:rPr>
          <w:rFonts w:hint="eastAsia" w:ascii="宋体" w:hAnsi="宋体" w:cs="宋体"/>
          <w:kern w:val="0"/>
          <w:shd w:val="clear" w:color="auto" w:fill="FFFFFF"/>
        </w:rPr>
        <w:t xml:space="preserve">  每个防火单元应采用耐火极限不小于2.00h的防火隔墙、防火分隔水幕或乙级防火门等防火分隔设施与其它防火单元和汽车库其他部位分隔。采用防火分隔水幕时，应符合现行国家标准的相关规定。</w:t>
      </w:r>
    </w:p>
    <w:p w14:paraId="28BD10BE">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3</w:t>
      </w:r>
      <w:r>
        <w:rPr>
          <w:rFonts w:hint="eastAsia" w:ascii="宋体" w:hAnsi="宋体" w:cs="宋体"/>
          <w:kern w:val="0"/>
          <w:shd w:val="clear" w:color="auto" w:fill="FFFFFF"/>
        </w:rPr>
        <w:t xml:space="preserve">  防火单元内的行车通道应采用具有停滞功能的特级防火卷帘作为防火单元分隔，火灾发生时，防火卷帘应能由火灾自动报警系统联动下降并停在距地面1.8米的高度，并应在防火卷帘两侧设置由值班人员或消防救援人员现场手动控制防火卷帘开闭的装置。</w:t>
      </w:r>
    </w:p>
    <w:p w14:paraId="20B8553C">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停车场内的充电基础设施应集中布置或分组集中布置，每组不应大于50辆，组之间或未配置充电基础设施的停车位之间，可设置耐火极限不下于2.00h且高度不小于2m的防火隔墙，或设置不小于6 m的防火间距进行分隔。</w:t>
      </w:r>
    </w:p>
    <w:p w14:paraId="527248D0">
      <w:pPr>
        <w:pStyle w:val="108"/>
        <w:numPr>
          <w:ilvl w:val="3"/>
          <w:numId w:val="32"/>
        </w:numPr>
        <w:spacing w:before="0" w:beforeLines="0" w:after="0" w:afterLines="0"/>
        <w:outlineLvl w:val="9"/>
        <w:rPr>
          <w:rFonts w:ascii="宋体" w:hAnsi="宋体" w:eastAsia="宋体" w:cs="宋体"/>
          <w:u w:val="single"/>
          <w:shd w:val="clear" w:color="auto" w:fill="FFFFFF"/>
        </w:rPr>
      </w:pPr>
      <w:r>
        <w:rPr>
          <w:rFonts w:hint="eastAsia" w:ascii="宋体" w:hAnsi="宋体" w:eastAsia="宋体" w:cs="宋体"/>
          <w:shd w:val="clear" w:color="auto" w:fill="FFFFFF"/>
        </w:rPr>
        <w:t xml:space="preserve"> 当充电设备采用落地式安装方式时,应符合下列规定:</w:t>
      </w:r>
    </w:p>
    <w:p w14:paraId="7C25092D">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1</w:t>
      </w:r>
      <w:r>
        <w:rPr>
          <w:rFonts w:hint="eastAsia" w:ascii="宋体" w:hAnsi="宋体" w:cs="宋体"/>
          <w:kern w:val="0"/>
          <w:shd w:val="clear" w:color="auto" w:fill="FFFFFF"/>
        </w:rPr>
        <w:t xml:space="preserve">  室内充电设备基础应高出地坪200mm,室外充电设备基础应高出地坪200m；</w:t>
      </w:r>
    </w:p>
    <w:p w14:paraId="5253E879">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2</w:t>
      </w:r>
      <w:r>
        <w:rPr>
          <w:rFonts w:hint="eastAsia" w:ascii="宋体" w:hAnsi="宋体" w:cs="宋体"/>
          <w:kern w:val="0"/>
          <w:shd w:val="clear" w:color="auto" w:fill="FFFFFF"/>
        </w:rPr>
        <w:t xml:space="preserve">  设备基础宜大于充电设备长宽外廓尺寸不低于50mm；</w:t>
      </w:r>
    </w:p>
    <w:p w14:paraId="407D4231">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 xml:space="preserve">3 </w:t>
      </w:r>
      <w:r>
        <w:rPr>
          <w:rFonts w:hint="eastAsia" w:ascii="宋体" w:hAnsi="宋体" w:cs="宋体"/>
          <w:kern w:val="0"/>
          <w:shd w:val="clear" w:color="auto" w:fill="FFFFFF"/>
        </w:rPr>
        <w:t xml:space="preserve"> 单独安装的充电连接器,正常状态下水浸时,应满足正常使用且系统绝缘电阻不应降低、人身安全不受影响,其安装基础可与地面平齐。</w:t>
      </w:r>
    </w:p>
    <w:p w14:paraId="204CC1B9">
      <w:pPr>
        <w:pStyle w:val="108"/>
        <w:numPr>
          <w:ilvl w:val="3"/>
          <w:numId w:val="32"/>
        </w:numPr>
        <w:spacing w:before="0" w:beforeLines="0" w:after="0" w:afterLines="0"/>
        <w:outlineLvl w:val="9"/>
        <w:rPr>
          <w:rFonts w:ascii="宋体" w:hAnsi="宋体" w:eastAsia="宋体" w:cs="宋体"/>
          <w:u w:val="single"/>
          <w:shd w:val="clear" w:color="auto" w:fill="FFFFFF"/>
        </w:rPr>
      </w:pPr>
      <w:r>
        <w:rPr>
          <w:rFonts w:hint="eastAsia" w:ascii="宋体" w:hAnsi="宋体" w:eastAsia="宋体" w:cs="宋体"/>
          <w:shd w:val="clear" w:color="auto" w:fill="FFFFFF"/>
        </w:rPr>
        <w:t>当充电设备采用壁挂式安装方式时,应符合下列规定:</w:t>
      </w:r>
    </w:p>
    <w:p w14:paraId="3E50D229">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 xml:space="preserve">1 </w:t>
      </w:r>
      <w:r>
        <w:rPr>
          <w:rFonts w:hint="eastAsia" w:ascii="宋体" w:hAnsi="宋体" w:cs="宋体"/>
          <w:kern w:val="0"/>
          <w:shd w:val="clear" w:color="auto" w:fill="FFFFFF"/>
        </w:rPr>
        <w:t xml:space="preserve"> 应竖直安装于与地平面垂直的墙面,墙面应符合承重要求,充电设施应固定可靠；</w:t>
      </w:r>
    </w:p>
    <w:p w14:paraId="2F93EB2F">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2</w:t>
      </w:r>
      <w:r>
        <w:rPr>
          <w:rFonts w:hint="eastAsia" w:ascii="宋体" w:hAnsi="宋体" w:cs="宋体"/>
          <w:kern w:val="0"/>
          <w:shd w:val="clear" w:color="auto" w:fill="FFFFFF"/>
        </w:rPr>
        <w:t xml:space="preserve">  设备安装高度应便于操作,设备人机界面操作区域水平中心线距地面宜为1.5m。</w:t>
      </w:r>
    </w:p>
    <w:p w14:paraId="7E489578">
      <w:pPr>
        <w:pStyle w:val="108"/>
        <w:numPr>
          <w:ilvl w:val="3"/>
          <w:numId w:val="32"/>
        </w:numPr>
        <w:spacing w:before="0" w:beforeLines="0" w:after="0" w:afterLines="0"/>
        <w:outlineLvl w:val="9"/>
        <w:rPr>
          <w:rFonts w:ascii="宋体" w:hAnsi="宋体" w:eastAsia="宋体" w:cs="宋体"/>
          <w:u w:val="single"/>
          <w:shd w:val="clear" w:color="auto" w:fill="FFFFFF"/>
        </w:rPr>
      </w:pPr>
      <w:r>
        <w:rPr>
          <w:rFonts w:hint="eastAsia" w:ascii="宋体" w:hAnsi="宋体" w:eastAsia="宋体" w:cs="宋体"/>
          <w:shd w:val="clear" w:color="auto" w:fill="FFFFFF"/>
        </w:rPr>
        <w:t>充电设备采用悬挂式安装时，应符合下列规定:</w:t>
      </w:r>
    </w:p>
    <w:p w14:paraId="3F2C9A5E">
      <w:pPr>
        <w:spacing w:line="240" w:lineRule="auto"/>
        <w:ind w:firstLine="630" w:firstLineChars="300"/>
        <w:rPr>
          <w:rFonts w:ascii="宋体" w:hAnsi="宋体" w:cs="宋体"/>
          <w:kern w:val="0"/>
          <w:shd w:val="clear" w:color="auto" w:fill="FFFFFF"/>
        </w:rPr>
      </w:pPr>
      <w:r>
        <w:rPr>
          <w:rFonts w:hint="eastAsia" w:ascii="黑体" w:hAnsi="黑体" w:eastAsia="黑体" w:cs="黑体"/>
          <w:kern w:val="0"/>
          <w:shd w:val="clear" w:color="auto" w:fill="FFFFFF"/>
        </w:rPr>
        <w:t>1</w:t>
      </w:r>
      <w:r>
        <w:rPr>
          <w:rFonts w:hint="eastAsia" w:ascii="宋体" w:hAnsi="宋体" w:cs="宋体"/>
          <w:kern w:val="0"/>
          <w:shd w:val="clear" w:color="auto" w:fill="FFFFFF"/>
        </w:rPr>
        <w:t xml:space="preserve">  设备安装高度应便于操作,设备人机界面操作区域水平中心线距地面宜为1.5m。</w:t>
      </w:r>
    </w:p>
    <w:p w14:paraId="1DF6483B">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充电设备与充电车位、建(构)筑物之间的距离应满足安全、操作及检修的要求；充电设备外廓距充电车位边缘的净距不宜小于0.4m，宜设在相邻两车位后侧的中间位置。</w:t>
      </w:r>
    </w:p>
    <w:p w14:paraId="163C23E5">
      <w:pPr>
        <w:pStyle w:val="108"/>
        <w:numPr>
          <w:ilvl w:val="3"/>
          <w:numId w:val="32"/>
        </w:numPr>
        <w:spacing w:before="0" w:beforeLines="0" w:after="0" w:afterLines="0"/>
        <w:outlineLvl w:val="9"/>
        <w:rPr>
          <w:rFonts w:ascii="宋体" w:hAnsi="宋体" w:eastAsia="宋体" w:cs="宋体"/>
          <w:shd w:val="clear" w:color="auto" w:fill="FFFFFF"/>
        </w:rPr>
      </w:pPr>
      <w:r>
        <w:rPr>
          <w:rFonts w:hint="eastAsia" w:ascii="宋体" w:hAnsi="宋体" w:eastAsia="宋体" w:cs="宋体"/>
          <w:shd w:val="clear" w:color="auto" w:fill="FFFFFF"/>
        </w:rPr>
        <w:t>充电车位应安装防撞设施，并应采取措施保护充电的及操作人员安全。</w:t>
      </w:r>
    </w:p>
    <w:p w14:paraId="79BB89D0">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停车位及其充电设施建设不得影响消防车通行、登高作业和人员疏散逃生。</w:t>
      </w:r>
    </w:p>
    <w:p w14:paraId="243E5A4E">
      <w:pPr>
        <w:pStyle w:val="108"/>
        <w:numPr>
          <w:ilvl w:val="3"/>
          <w:numId w:val="32"/>
        </w:numPr>
        <w:spacing w:before="0" w:beforeLines="0" w:after="0" w:afterLines="0"/>
        <w:outlineLvl w:val="9"/>
        <w:rPr>
          <w:rFonts w:ascii="宋体" w:hAnsi="宋体" w:eastAsia="宋体" w:cs="宋体"/>
          <w:szCs w:val="21"/>
        </w:rPr>
      </w:pPr>
      <w:r>
        <w:rPr>
          <w:rFonts w:hint="eastAsia" w:ascii="宋体" w:hAnsi="宋体" w:eastAsia="宋体" w:cs="宋体"/>
        </w:rPr>
        <w:t>充电设施建设除应符合本导则外，尚应符合现行国家和地方相关标准的要求。</w:t>
      </w:r>
    </w:p>
    <w:p w14:paraId="293F7180">
      <w:pPr>
        <w:pStyle w:val="108"/>
        <w:spacing w:before="312" w:after="312"/>
      </w:pPr>
      <w:r>
        <w:rPr>
          <w:rFonts w:hint="eastAsia"/>
        </w:rPr>
        <w:t>智能化系统</w:t>
      </w:r>
    </w:p>
    <w:p w14:paraId="598A8538">
      <w:pPr>
        <w:pStyle w:val="108"/>
        <w:numPr>
          <w:ilvl w:val="2"/>
          <w:numId w:val="32"/>
        </w:numPr>
        <w:spacing w:before="312" w:after="312"/>
        <w:outlineLvl w:val="1"/>
      </w:pPr>
      <w:r>
        <w:rPr>
          <w:rFonts w:hint="eastAsia" w:hAnsi="黑体" w:cs="黑体"/>
          <w:szCs w:val="21"/>
          <w:lang w:bidi="ar"/>
        </w:rPr>
        <w:t>智能设备数据接口要求</w:t>
      </w:r>
    </w:p>
    <w:p w14:paraId="020B4A77">
      <w:pPr>
        <w:pStyle w:val="108"/>
        <w:numPr>
          <w:ilvl w:val="3"/>
          <w:numId w:val="34"/>
        </w:numPr>
        <w:spacing w:before="0" w:beforeLines="0" w:after="0" w:afterLines="0"/>
        <w:outlineLvl w:val="2"/>
      </w:pPr>
      <w:r>
        <w:rPr>
          <w:rFonts w:hint="eastAsia" w:hAnsi="黑体" w:cs="黑体"/>
          <w:szCs w:val="21"/>
          <w:lang w:bidi="ar"/>
        </w:rPr>
        <w:t>一般规定</w:t>
      </w:r>
    </w:p>
    <w:p w14:paraId="59BA69BF">
      <w:pPr>
        <w:pStyle w:val="108"/>
        <w:numPr>
          <w:ilvl w:val="1"/>
          <w:numId w:val="0"/>
        </w:numPr>
        <w:spacing w:before="0" w:beforeLines="0" w:after="0" w:afterLines="0"/>
        <w:ind w:leftChars="0" w:firstLine="412" w:firstLineChars="200"/>
        <w:outlineLvl w:val="9"/>
        <w:rPr>
          <w:color w:val="auto"/>
        </w:rPr>
      </w:pPr>
      <w:r>
        <w:rPr>
          <w:rFonts w:hint="eastAsia" w:ascii="宋体" w:hAnsi="宋体" w:eastAsia="宋体" w:cs="宋体"/>
          <w:color w:val="auto"/>
          <w:spacing w:val="-2"/>
          <w:lang w:bidi="ar"/>
        </w:rPr>
        <w:t>公共停车场（库）</w:t>
      </w:r>
      <w:r>
        <w:rPr>
          <w:rFonts w:hint="eastAsia" w:ascii="宋体" w:hAnsi="宋体" w:eastAsia="宋体" w:cs="宋体"/>
          <w:color w:val="auto"/>
          <w:shd w:val="clear" w:color="auto" w:fill="FDFDFE"/>
        </w:rPr>
        <w:t>智能化系统旨在通过先进的技术手段，实现停车场的自动化、信息化和智能化管理，提升停车效率、优化用户体验并保障停车场的安全。为满足</w:t>
      </w:r>
      <w:r>
        <w:rPr>
          <w:rFonts w:hint="eastAsia" w:ascii="宋体" w:hAnsi="宋体" w:eastAsia="宋体" w:cs="宋体"/>
          <w:color w:val="auto"/>
          <w:lang w:bidi="ar"/>
        </w:rPr>
        <w:t>数据采集、数据传输、数据处理、数据管理、数据交换与共享、数据安全保障等方面的需求，智能化系统宜满足</w:t>
      </w:r>
      <w:r>
        <w:rPr>
          <w:rFonts w:hint="eastAsia" w:ascii="宋体" w:hAnsi="宋体" w:eastAsia="宋体" w:cs="宋体"/>
          <w:color w:val="auto"/>
          <w:shd w:val="clear" w:color="auto" w:fill="FFFFFF"/>
        </w:rPr>
        <w:t>《公共停车场（库）信息联网通用技术要求》GB/T 29745-2013、《停车设备 智能控制与管理系统》GB/T 41976-2022的相关要求。</w:t>
      </w:r>
    </w:p>
    <w:p w14:paraId="002C676C">
      <w:pPr>
        <w:pStyle w:val="108"/>
        <w:numPr>
          <w:ilvl w:val="3"/>
          <w:numId w:val="34"/>
        </w:numPr>
        <w:spacing w:before="0" w:beforeLines="0" w:after="0" w:afterLines="0"/>
        <w:outlineLvl w:val="2"/>
      </w:pPr>
      <w:r>
        <w:rPr>
          <w:rFonts w:hint="eastAsia" w:hAnsi="黑体" w:cs="黑体"/>
          <w:szCs w:val="21"/>
          <w:lang w:bidi="ar"/>
        </w:rPr>
        <w:t>停车诱导系统</w:t>
      </w:r>
    </w:p>
    <w:p w14:paraId="59DEFEE4">
      <w:pPr>
        <w:keepNext w:val="0"/>
        <w:keepLines w:val="0"/>
        <w:pageBreakBefore w:val="0"/>
        <w:widowControl w:val="0"/>
        <w:kinsoku/>
        <w:wordWrap/>
        <w:overflowPunct/>
        <w:topLinePunct w:val="0"/>
        <w:autoSpaceDE/>
        <w:autoSpaceDN/>
        <w:bidi w:val="0"/>
        <w:adjustRightInd w:val="0"/>
        <w:snapToGrid/>
        <w:spacing w:line="240" w:lineRule="auto"/>
        <w:ind w:firstLine="412" w:firstLineChars="200"/>
        <w:textAlignment w:val="auto"/>
        <w:rPr>
          <w:rFonts w:hint="eastAsia" w:ascii="宋体" w:hAnsi="宋体" w:eastAsia="宋体" w:cs="宋体"/>
          <w:sz w:val="21"/>
          <w:szCs w:val="21"/>
        </w:rPr>
      </w:pPr>
      <w:r>
        <w:rPr>
          <w:rFonts w:hint="eastAsia" w:ascii="宋体" w:hAnsi="宋体" w:eastAsia="宋体" w:cs="宋体"/>
          <w:spacing w:val="-2"/>
          <w:sz w:val="21"/>
          <w:szCs w:val="21"/>
          <w:lang w:bidi="ar"/>
        </w:rPr>
        <w:t>公共停车场（库）的</w:t>
      </w:r>
      <w:r>
        <w:rPr>
          <w:rFonts w:hint="eastAsia" w:ascii="宋体" w:hAnsi="宋体" w:eastAsia="宋体" w:cs="宋体"/>
          <w:kern w:val="0"/>
          <w:sz w:val="21"/>
          <w:szCs w:val="21"/>
          <w:shd w:val="clear" w:color="auto" w:fill="FFFFFF"/>
        </w:rPr>
        <w:t>停车诱导系统，应符合《综合布线系统工程设计规范》GB 50311、</w:t>
      </w:r>
      <w:r>
        <w:rPr>
          <w:rFonts w:hint="eastAsia" w:ascii="宋体" w:hAnsi="宋体" w:eastAsia="宋体" w:cs="宋体"/>
          <w:color w:val="333333"/>
          <w:sz w:val="21"/>
          <w:szCs w:val="21"/>
          <w:shd w:val="clear" w:color="auto" w:fill="FFFFFF"/>
        </w:rPr>
        <w:t>《停车诱导信息集》GB/T 26770-2011</w:t>
      </w:r>
      <w:r>
        <w:rPr>
          <w:rFonts w:hint="eastAsia" w:ascii="宋体" w:hAnsi="宋体" w:eastAsia="宋体" w:cs="宋体"/>
          <w:kern w:val="0"/>
          <w:sz w:val="21"/>
          <w:szCs w:val="21"/>
          <w:shd w:val="clear" w:color="auto" w:fill="FFFFFF"/>
        </w:rPr>
        <w:t>的相关要求。</w:t>
      </w:r>
    </w:p>
    <w:p w14:paraId="0CF39FE6">
      <w:pPr>
        <w:pStyle w:val="108"/>
        <w:numPr>
          <w:ilvl w:val="4"/>
          <w:numId w:val="34"/>
        </w:numPr>
        <w:spacing w:before="0" w:beforeLines="0" w:after="0" w:afterLines="0"/>
        <w:outlineLvl w:val="9"/>
      </w:pPr>
      <w:r>
        <w:rPr>
          <w:rFonts w:hint="eastAsia" w:hAnsi="黑体" w:cs="黑体"/>
          <w:szCs w:val="21"/>
          <w:lang w:bidi="ar"/>
        </w:rPr>
        <w:t>车位信息采集</w:t>
      </w:r>
    </w:p>
    <w:p w14:paraId="2393F295">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pPr>
      <w:r>
        <w:rPr>
          <w:rFonts w:hint="eastAsia" w:ascii="宋体" w:hAnsi="宋体" w:cs="黑体"/>
          <w:kern w:val="0"/>
          <w:shd w:val="clear" w:color="auto" w:fill="FFFFFF"/>
        </w:rPr>
        <w:t>车位信息采集接口应包含车场编号、总车位数、总剩余车位数、总剩余固定车位数、总剩余临时车位数、总剩余充电桩数等数据。</w:t>
      </w:r>
    </w:p>
    <w:p w14:paraId="6D2F2E9A">
      <w:pPr>
        <w:pStyle w:val="108"/>
        <w:numPr>
          <w:ilvl w:val="4"/>
          <w:numId w:val="34"/>
        </w:numPr>
        <w:spacing w:before="0" w:beforeLines="0" w:after="0" w:afterLines="0"/>
        <w:outlineLvl w:val="9"/>
      </w:pPr>
      <w:r>
        <w:rPr>
          <w:rFonts w:hint="eastAsia" w:hAnsi="黑体" w:cs="黑体"/>
          <w:szCs w:val="21"/>
          <w:lang w:bidi="ar"/>
        </w:rPr>
        <w:t>车位信息发布</w:t>
      </w:r>
    </w:p>
    <w:p w14:paraId="180E940D">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pPr>
      <w:r>
        <w:rPr>
          <w:rFonts w:hint="eastAsia" w:ascii="宋体" w:hAnsi="宋体" w:cs="黑体"/>
          <w:kern w:val="0"/>
          <w:shd w:val="clear" w:color="auto" w:fill="FFFFFF"/>
        </w:rPr>
        <w:t>车位信息发布接口应包含</w:t>
      </w:r>
      <w:r>
        <w:rPr>
          <w:rFonts w:hint="eastAsia" w:ascii="宋体" w:hAnsi="宋体" w:cs="宋体"/>
          <w:color w:val="000000"/>
        </w:rPr>
        <w:t>车场编号列表、车场名称列表、车场车位列表、总剩余车位数、总剩余固定车位数、总剩余临时车位数、总剩余充电桩数等数据。</w:t>
      </w:r>
    </w:p>
    <w:p w14:paraId="1B60C5F6">
      <w:pPr>
        <w:pStyle w:val="108"/>
        <w:numPr>
          <w:ilvl w:val="3"/>
          <w:numId w:val="34"/>
        </w:numPr>
        <w:spacing w:before="0" w:beforeLines="0" w:after="0" w:afterLines="0"/>
        <w:outlineLvl w:val="2"/>
      </w:pPr>
      <w:r>
        <w:rPr>
          <w:rFonts w:hint="eastAsia" w:hAnsi="黑体" w:cs="黑体"/>
          <w:szCs w:val="21"/>
          <w:lang w:bidi="ar"/>
        </w:rPr>
        <w:t>停车收费管理系统</w:t>
      </w:r>
    </w:p>
    <w:p w14:paraId="2D9DAD5B">
      <w:pPr>
        <w:pStyle w:val="108"/>
        <w:numPr>
          <w:ilvl w:val="4"/>
          <w:numId w:val="34"/>
        </w:numPr>
        <w:spacing w:before="0" w:beforeLines="0" w:after="0" w:afterLines="0"/>
        <w:outlineLvl w:val="9"/>
      </w:pPr>
      <w:r>
        <w:rPr>
          <w:rFonts w:hint="eastAsia" w:hAnsi="黑体" w:cs="黑体"/>
          <w:szCs w:val="21"/>
          <w:lang w:bidi="ar"/>
        </w:rPr>
        <w:t>停车场智能设备</w:t>
      </w:r>
    </w:p>
    <w:p w14:paraId="792964E2">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pPr>
      <w:r>
        <w:rPr>
          <w:rFonts w:hint="eastAsia" w:ascii="宋体" w:hAnsi="宋体" w:cs="黑体"/>
          <w:kern w:val="0"/>
          <w:shd w:val="clear" w:color="auto" w:fill="FFFFFF"/>
        </w:rPr>
        <w:t>停车场智能设备应包含道闸开关、道闸长抬、车牌相机数据推送、智慧照明灯具灯控操作、监控摄像头等数据接口。</w:t>
      </w:r>
    </w:p>
    <w:p w14:paraId="733E5E0F">
      <w:pPr>
        <w:pStyle w:val="108"/>
        <w:numPr>
          <w:ilvl w:val="4"/>
          <w:numId w:val="34"/>
        </w:numPr>
        <w:spacing w:before="0" w:beforeLines="0" w:after="0" w:afterLines="0"/>
        <w:outlineLvl w:val="9"/>
      </w:pPr>
      <w:r>
        <w:rPr>
          <w:rFonts w:hint="eastAsia" w:hAnsi="黑体" w:cs="黑体"/>
          <w:szCs w:val="21"/>
          <w:lang w:bidi="ar"/>
        </w:rPr>
        <w:t>停车场智能设备应用</w:t>
      </w:r>
    </w:p>
    <w:p w14:paraId="646F0B42">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pPr>
      <w:r>
        <w:rPr>
          <w:rFonts w:hint="eastAsia" w:ascii="宋体" w:hAnsi="宋体" w:cs="黑体"/>
          <w:kern w:val="0"/>
          <w:shd w:val="clear" w:color="auto" w:fill="FFFFFF"/>
        </w:rPr>
        <w:t>停车场智能设备应用应包含停车时长分布、各时段营收统计、车场月卡、工作车辆统计、批量包月车辆日报、各区车场营收统计等数据接口。</w:t>
      </w:r>
    </w:p>
    <w:p w14:paraId="19829DAE">
      <w:pPr>
        <w:pStyle w:val="108"/>
        <w:numPr>
          <w:ilvl w:val="4"/>
          <w:numId w:val="34"/>
        </w:numPr>
        <w:spacing w:before="0" w:beforeLines="0" w:after="0" w:afterLines="0"/>
        <w:outlineLvl w:val="9"/>
      </w:pPr>
      <w:r>
        <w:rPr>
          <w:rFonts w:hint="eastAsia" w:hAnsi="黑体" w:cs="黑体"/>
          <w:szCs w:val="21"/>
          <w:lang w:bidi="ar"/>
        </w:rPr>
        <w:t>数据管理模块</w:t>
      </w:r>
    </w:p>
    <w:p w14:paraId="5328B1BA">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pPr>
      <w:r>
        <w:rPr>
          <w:rFonts w:hint="eastAsia" w:ascii="宋体" w:hAnsi="宋体" w:cs="黑体"/>
          <w:kern w:val="0"/>
          <w:shd w:val="clear" w:color="auto" w:fill="FFFFFF"/>
        </w:rPr>
        <w:t>数据管理模块应包含下发车场基础信息、下发岗亭及车道基础信息、获取设备基础信息、获取通道信息、下发通行规则同步、添加/修改收费方案、添加出入口权限、设置工作车辆、获取月租车记录信息、月租车办理支付缴费下单、月租车办理订单取消、获取车场优惠方案信息、下发多位多车、设置车场黑白名单、查询车辆账单、查询通道上待支付的缴费信息、下发支付结果、发票开具、查看发票记录、车位预约支付下单、查询预约记录、取消车位预约支付订单、查询车场可预约车位数量、车牌修正结果下发、车辆延期续费、手动置场外、无牌车出入场、修改车辆入场信息等数据接口。</w:t>
      </w:r>
    </w:p>
    <w:p w14:paraId="7C0225A0">
      <w:pPr>
        <w:pStyle w:val="108"/>
        <w:numPr>
          <w:ilvl w:val="4"/>
          <w:numId w:val="34"/>
        </w:numPr>
        <w:spacing w:before="0" w:beforeLines="0" w:after="0" w:afterLines="0"/>
        <w:outlineLvl w:val="9"/>
      </w:pPr>
      <w:r>
        <w:rPr>
          <w:rFonts w:hint="eastAsia" w:hAnsi="黑体" w:cs="黑体"/>
          <w:szCs w:val="21"/>
          <w:lang w:bidi="ar"/>
        </w:rPr>
        <w:t>数据安全和隐私模块</w:t>
      </w:r>
    </w:p>
    <w:p w14:paraId="6F2B4A02">
      <w:pPr>
        <w:spacing w:line="240" w:lineRule="auto"/>
        <w:ind w:firstLine="420" w:firstLineChars="200"/>
      </w:pPr>
      <w:r>
        <w:rPr>
          <w:rFonts w:hint="eastAsia" w:ascii="宋体" w:hAnsi="宋体" w:cs="黑体"/>
          <w:kern w:val="0"/>
          <w:shd w:val="clear" w:color="auto" w:fill="FFFFFF"/>
        </w:rPr>
        <w:t>数据安全和隐私模块应包含登录验证与验签认证等数据接口。</w:t>
      </w:r>
    </w:p>
    <w:p w14:paraId="16BBEA41">
      <w:pPr>
        <w:pStyle w:val="108"/>
        <w:numPr>
          <w:ilvl w:val="3"/>
          <w:numId w:val="34"/>
        </w:numPr>
        <w:spacing w:before="0" w:beforeLines="0" w:after="0" w:afterLines="0"/>
        <w:outlineLvl w:val="2"/>
      </w:pPr>
      <w:r>
        <w:rPr>
          <w:rFonts w:hint="eastAsia" w:hAnsi="黑体" w:cs="黑体"/>
          <w:szCs w:val="21"/>
          <w:lang w:bidi="ar"/>
        </w:rPr>
        <w:t>视频监控系统</w:t>
      </w:r>
    </w:p>
    <w:p w14:paraId="623CD041">
      <w:pPr>
        <w:pStyle w:val="108"/>
        <w:numPr>
          <w:ilvl w:val="4"/>
          <w:numId w:val="34"/>
        </w:numPr>
        <w:spacing w:before="0" w:beforeLines="0" w:after="0" w:afterLines="0"/>
        <w:outlineLvl w:val="9"/>
      </w:pPr>
      <w:r>
        <w:rPr>
          <w:rFonts w:hint="eastAsia" w:hAnsi="黑体" w:cs="黑体"/>
          <w:szCs w:val="21"/>
          <w:lang w:bidi="ar"/>
        </w:rPr>
        <w:t>获取视频通道分页</w:t>
      </w:r>
    </w:p>
    <w:p w14:paraId="0440DE64">
      <w:pPr>
        <w:spacing w:line="240" w:lineRule="auto"/>
        <w:ind w:firstLine="420" w:firstLineChars="200"/>
      </w:pPr>
      <w:r>
        <w:rPr>
          <w:rFonts w:hint="eastAsia" w:ascii="宋体" w:hAnsi="宋体" w:cs="黑体"/>
          <w:kern w:val="0"/>
          <w:shd w:val="clear" w:color="auto" w:fill="FFFFFF"/>
        </w:rPr>
        <w:t>接口应包含页码、页数、车场视频通道编码、码流类型、分页数据、视频总数、视频地址、视频通道名称、所属组织编码、通道编码、是否是虚拟通道、在线状态、是否已接入、状态等数据。</w:t>
      </w:r>
    </w:p>
    <w:p w14:paraId="530DE780">
      <w:pPr>
        <w:pStyle w:val="108"/>
        <w:numPr>
          <w:ilvl w:val="4"/>
          <w:numId w:val="34"/>
        </w:numPr>
        <w:spacing w:before="0" w:beforeLines="0" w:after="0" w:afterLines="0"/>
        <w:outlineLvl w:val="9"/>
      </w:pPr>
      <w:r>
        <w:rPr>
          <w:rFonts w:hint="eastAsia"/>
        </w:rPr>
        <w:t>实时预览rtsp流地址</w:t>
      </w:r>
    </w:p>
    <w:p w14:paraId="1DBEDC1A">
      <w:pPr>
        <w:spacing w:line="240" w:lineRule="auto"/>
        <w:ind w:firstLine="420" w:firstLineChars="200"/>
      </w:pPr>
      <w:r>
        <w:rPr>
          <w:rFonts w:hint="eastAsia" w:ascii="宋体" w:hAnsi="宋体" w:cs="黑体"/>
          <w:kern w:val="0"/>
          <w:shd w:val="clear" w:color="auto" w:fill="FFFFFF"/>
        </w:rPr>
        <w:t>接口应包含视频通道编码、码流类型、视频地址个数等数据。</w:t>
      </w:r>
    </w:p>
    <w:p w14:paraId="3A873629">
      <w:pPr>
        <w:pStyle w:val="108"/>
        <w:numPr>
          <w:ilvl w:val="2"/>
          <w:numId w:val="32"/>
        </w:numPr>
        <w:spacing w:before="312" w:after="312"/>
        <w:outlineLvl w:val="1"/>
      </w:pPr>
      <w:r>
        <w:rPr>
          <w:rFonts w:hint="eastAsia" w:hAnsi="黑体" w:cs="黑体"/>
          <w:szCs w:val="21"/>
          <w:lang w:bidi="ar"/>
        </w:rPr>
        <w:t>智能设施要求</w:t>
      </w:r>
    </w:p>
    <w:p w14:paraId="150C96FB">
      <w:pPr>
        <w:pStyle w:val="108"/>
        <w:numPr>
          <w:ilvl w:val="3"/>
          <w:numId w:val="32"/>
        </w:numPr>
        <w:spacing w:before="0" w:beforeLines="0" w:after="0" w:afterLines="0"/>
        <w:outlineLvl w:val="9"/>
        <w:rPr>
          <w:rFonts w:ascii="宋体" w:hAnsi="宋体" w:eastAsia="宋体"/>
          <w:b/>
          <w:bCs/>
          <w:kern w:val="2"/>
          <w:szCs w:val="21"/>
        </w:rPr>
      </w:pPr>
      <w:r>
        <w:rPr>
          <w:rFonts w:hint="eastAsia" w:ascii="宋体" w:hAnsi="宋体" w:eastAsia="宋体" w:cs="宋体"/>
          <w:kern w:val="2"/>
          <w:szCs w:val="21"/>
          <w:lang w:bidi="ar"/>
        </w:rPr>
        <w:t>公共机动车停车场（库）应设置停车场（库）管理系统，应符合《民用建筑电气设计标准》GB 51348中的相关规定。</w:t>
      </w:r>
    </w:p>
    <w:p w14:paraId="1CA5911F">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应根据停车设备类型、建设规模及环境等因素，选择配置停车收费管理系统、停车引导系统、反向寻车系统、车辆以及驾驶人高清图像比对系统、视频监控系统、远程通信及协助系统等智能化系统。</w:t>
      </w:r>
    </w:p>
    <w:p w14:paraId="2DFF528F">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特大、大型公共机动车停车场（库）应设置远程通信及协助系统、停车引导系统、反向寻车系统。</w:t>
      </w:r>
    </w:p>
    <w:p w14:paraId="1B114443">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交通、治安重点区域范围内的公共停车场（库）应设置车辆以及驾驶人高清图像比对系统，出入口应设置卡口抓拍摄像机，比对数据应上传公安系统。</w:t>
      </w:r>
    </w:p>
    <w:p w14:paraId="149E6B42">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公共机动车停车场（库）出入口应设置机动车自动通行道闸，停车收费管理系统应支持微信、支付宝等手机支付方式。</w:t>
      </w:r>
    </w:p>
    <w:p w14:paraId="54F804D5">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非机动车停车场（库）宜设置电瓶车专用检测摄像机。</w:t>
      </w:r>
    </w:p>
    <w:p w14:paraId="0368C805">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建筑物配建非机动车停车场（库）内部工作人员的非机动车停车场（库）出入口宜设置非机动车道闸，可采用人脸识别、刷卡等自动通行方式。</w:t>
      </w:r>
    </w:p>
    <w:p w14:paraId="3302998E">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公共停车场（库）应设置视频监控系统，系统应符合《视频安防监控系统工程设计规范》GB50395的相关规定，重点监控出入口、内部主干道等。系统应预留公安接入接口并符合《安全防范视频监控联网系统信息传输、交换、控制技术要求》GB T28181的相关规定。</w:t>
      </w:r>
    </w:p>
    <w:p w14:paraId="23A0D6E3">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公共停车场（库）内电动车充电设施处应设置智能火焰识别摄像机，充电设施宜含智能监测及计费功能。</w:t>
      </w:r>
    </w:p>
    <w:p w14:paraId="694EC03D">
      <w:pPr>
        <w:pStyle w:val="108"/>
        <w:numPr>
          <w:ilvl w:val="3"/>
          <w:numId w:val="32"/>
        </w:numPr>
        <w:spacing w:before="0" w:beforeLines="0" w:after="0" w:afterLines="0"/>
        <w:outlineLvl w:val="9"/>
        <w:rPr>
          <w:rFonts w:ascii="宋体" w:hAnsi="宋体" w:eastAsia="宋体"/>
          <w:kern w:val="2"/>
          <w:szCs w:val="21"/>
        </w:rPr>
      </w:pPr>
      <w:r>
        <w:rPr>
          <w:rFonts w:hint="eastAsia" w:ascii="宋体" w:hAnsi="宋体" w:eastAsia="宋体" w:cs="宋体"/>
          <w:kern w:val="2"/>
          <w:szCs w:val="21"/>
          <w:lang w:bidi="ar"/>
        </w:rPr>
        <w:t>路内停车位应设置停车收费管理系统，可根据情况选择视频识别计费、人工计费等计费方式。宜依据所在地区、道路编号，建立相应的停车引导系统，并可与路外停车引导系统、城市的交通管理系统等进行有机衔接。</w:t>
      </w:r>
    </w:p>
    <w:p w14:paraId="139EE304">
      <w:pPr>
        <w:pStyle w:val="108"/>
        <w:numPr>
          <w:ilvl w:val="3"/>
          <w:numId w:val="32"/>
        </w:numPr>
        <w:spacing w:before="0" w:beforeLines="0" w:after="0" w:afterLines="0"/>
        <w:outlineLvl w:val="9"/>
        <w:rPr>
          <w:rFonts w:hAnsi="宋体" w:cs="宋体"/>
          <w:kern w:val="2"/>
          <w:szCs w:val="21"/>
          <w:lang w:bidi="ar"/>
        </w:rPr>
      </w:pPr>
      <w:r>
        <w:rPr>
          <w:rFonts w:hint="eastAsia" w:ascii="宋体" w:hAnsi="宋体" w:eastAsia="宋体" w:cs="宋体"/>
          <w:kern w:val="2"/>
          <w:szCs w:val="21"/>
          <w:lang w:bidi="ar"/>
        </w:rPr>
        <w:t>应建设城市停车信息综合管理服务平台，建立统一的数据接口和交换机制，应满足11.1章节的相关规定。</w:t>
      </w:r>
    </w:p>
    <w:p w14:paraId="75F96692">
      <w:pPr>
        <w:pStyle w:val="108"/>
        <w:spacing w:before="312" w:after="312"/>
      </w:pPr>
      <w:r>
        <w:rPr>
          <w:rFonts w:hint="eastAsia"/>
        </w:rPr>
        <w:t>其他技术要求</w:t>
      </w:r>
    </w:p>
    <w:p w14:paraId="14281CF9">
      <w:pPr>
        <w:pStyle w:val="108"/>
        <w:numPr>
          <w:ilvl w:val="2"/>
          <w:numId w:val="32"/>
        </w:numPr>
        <w:spacing w:before="312" w:after="312"/>
        <w:outlineLvl w:val="1"/>
      </w:pPr>
      <w:r>
        <w:rPr>
          <w:rFonts w:hint="eastAsia" w:hAnsi="黑体" w:cs="黑体"/>
          <w:szCs w:val="21"/>
          <w:lang w:bidi="ar"/>
        </w:rPr>
        <w:t>建筑标准</w:t>
      </w:r>
    </w:p>
    <w:p w14:paraId="1BD9BF40">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公共停车场（库）主要设计指标如停车位尺寸、纵横净距、净空、通道宽度、通道最小平曲线半径、最大纵坡等应符合《车库建筑设计规范》JGJ100的要求。</w:t>
      </w:r>
    </w:p>
    <w:p w14:paraId="355A3954">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公共停车场（库）的防滑、防护设施应符合下列规定：</w:t>
      </w:r>
    </w:p>
    <w:p w14:paraId="576CC4A8">
      <w:pPr>
        <w:spacing w:line="240" w:lineRule="auto"/>
        <w:ind w:firstLine="630" w:firstLineChars="300"/>
        <w:rPr>
          <w:rFonts w:ascii="宋体" w:hAnsi="宋体" w:cs="宋体"/>
        </w:rPr>
      </w:pPr>
      <w:r>
        <w:rPr>
          <w:rFonts w:hint="eastAsia" w:ascii="黑体" w:hAnsi="黑体" w:eastAsia="黑体" w:cs="黑体"/>
        </w:rPr>
        <w:t xml:space="preserve">1 </w:t>
      </w:r>
      <w:r>
        <w:rPr>
          <w:rFonts w:hint="eastAsia" w:ascii="宋体" w:hAnsi="宋体" w:cs="宋体"/>
        </w:rPr>
        <w:t xml:space="preserve"> 地面应采用强度高、具有耐磨防滑性能的不燃材料。  </w:t>
      </w:r>
    </w:p>
    <w:p w14:paraId="7F181D1F">
      <w:pPr>
        <w:spacing w:line="240" w:lineRule="auto"/>
        <w:ind w:firstLine="630" w:firstLineChars="300"/>
        <w:rPr>
          <w:rFonts w:ascii="宋体" w:hAnsi="宋体" w:cs="宋体"/>
        </w:rPr>
      </w:pPr>
      <w:r>
        <w:rPr>
          <w:rFonts w:hint="eastAsia" w:ascii="黑体" w:hAnsi="黑体" w:eastAsia="黑体" w:cs="黑体"/>
        </w:rPr>
        <w:t>2</w:t>
      </w:r>
      <w:r>
        <w:rPr>
          <w:rFonts w:hint="eastAsia" w:ascii="宋体" w:hAnsi="宋体" w:cs="宋体"/>
        </w:rPr>
        <w:t xml:space="preserve">  坡道的楼地面应采取限制车速的措施。  </w:t>
      </w:r>
    </w:p>
    <w:p w14:paraId="39CBDB5E">
      <w:pPr>
        <w:spacing w:line="240" w:lineRule="auto"/>
        <w:ind w:firstLine="630" w:firstLineChars="300"/>
        <w:rPr>
          <w:rFonts w:ascii="宋体" w:hAnsi="宋体" w:cs="宋体"/>
        </w:rPr>
      </w:pPr>
      <w:r>
        <w:rPr>
          <w:rFonts w:hint="eastAsia" w:ascii="黑体" w:hAnsi="黑体" w:eastAsia="黑体" w:cs="黑体"/>
        </w:rPr>
        <w:t>3</w:t>
      </w:r>
      <w:r>
        <w:rPr>
          <w:rFonts w:hint="eastAsia" w:ascii="宋体" w:hAnsi="宋体" w:cs="宋体"/>
        </w:rPr>
        <w:t xml:space="preserve">  通车道和坡道面层应采取防滑措施，并应在柱子、墙阳角凸出结构等部位采取防撞措施。  </w:t>
      </w:r>
    </w:p>
    <w:p w14:paraId="3101BA22">
      <w:pPr>
        <w:spacing w:line="240" w:lineRule="auto"/>
        <w:ind w:firstLine="630" w:firstLineChars="300"/>
        <w:rPr>
          <w:rFonts w:ascii="宋体" w:hAnsi="宋体" w:cs="宋体"/>
        </w:rPr>
      </w:pPr>
      <w:r>
        <w:rPr>
          <w:rFonts w:hint="eastAsia" w:ascii="黑体" w:hAnsi="黑体" w:eastAsia="黑体" w:cs="黑体"/>
        </w:rPr>
        <w:t>4</w:t>
      </w:r>
      <w:r>
        <w:rPr>
          <w:rFonts w:hint="eastAsia" w:ascii="宋体" w:hAnsi="宋体" w:cs="宋体"/>
        </w:rPr>
        <w:t xml:space="preserve">  停车位应设车轮挡，车轮挡宜设于距停车位端线为机动车前悬或后悬的尺寸减 0.2m处，其高度宜为 0.15m，且车轮挡不得阻碍楼地面排水。  </w:t>
      </w:r>
    </w:p>
    <w:p w14:paraId="6DE7E7DF">
      <w:pPr>
        <w:spacing w:line="240" w:lineRule="auto"/>
        <w:ind w:firstLine="630" w:firstLineChars="300"/>
        <w:rPr>
          <w:rFonts w:ascii="宋体" w:hAnsi="宋体" w:cs="宋体"/>
        </w:rPr>
      </w:pPr>
      <w:r>
        <w:rPr>
          <w:rFonts w:hint="eastAsia" w:ascii="黑体" w:hAnsi="黑体" w:eastAsia="黑体" w:cs="黑体"/>
        </w:rPr>
        <w:t>5</w:t>
      </w:r>
      <w:r>
        <w:rPr>
          <w:rFonts w:hint="eastAsia" w:ascii="宋体" w:hAnsi="宋体" w:cs="宋体"/>
        </w:rPr>
        <w:t xml:space="preserve">  坡道横向内（或外）侧无实体墙体时，应在无实体墙处设护栏和道牙。道牙宽度不应小于 0.30m，高度不应小于 0.15m。  </w:t>
      </w:r>
    </w:p>
    <w:p w14:paraId="55431796">
      <w:pPr>
        <w:spacing w:line="240" w:lineRule="auto"/>
        <w:ind w:firstLine="630" w:firstLineChars="300"/>
        <w:rPr>
          <w:rFonts w:ascii="宋体" w:hAnsi="宋体" w:cs="宋体"/>
        </w:rPr>
      </w:pPr>
      <w:r>
        <w:rPr>
          <w:rFonts w:hint="eastAsia" w:ascii="黑体" w:hAnsi="黑体" w:eastAsia="黑体" w:cs="黑体"/>
        </w:rPr>
        <w:t xml:space="preserve">6 </w:t>
      </w:r>
      <w:r>
        <w:rPr>
          <w:rFonts w:hint="eastAsia" w:ascii="宋体" w:hAnsi="宋体" w:cs="宋体"/>
        </w:rPr>
        <w:t xml:space="preserve"> 通往公共停车场（库）的出入口和坡道的上方应设置防坠落物设施。 </w:t>
      </w:r>
    </w:p>
    <w:p w14:paraId="6655ED03">
      <w:pPr>
        <w:spacing w:line="240" w:lineRule="auto"/>
        <w:ind w:firstLine="630" w:firstLineChars="300"/>
        <w:rPr>
          <w:rFonts w:ascii="宋体" w:hAnsi="宋体" w:cs="宋体"/>
        </w:rPr>
      </w:pPr>
      <w:r>
        <w:rPr>
          <w:rFonts w:hint="eastAsia" w:ascii="黑体" w:hAnsi="黑体" w:eastAsia="黑体" w:cs="黑体"/>
        </w:rPr>
        <w:t>7</w:t>
      </w:r>
      <w:r>
        <w:rPr>
          <w:rFonts w:hint="eastAsia" w:ascii="宋体" w:hAnsi="宋体" w:cs="宋体"/>
        </w:rPr>
        <w:t xml:space="preserve">  当停车库采取天然采光时，停车库及坡道应设有防眩光设施。</w:t>
      </w:r>
    </w:p>
    <w:p w14:paraId="0AE01B32">
      <w:pPr>
        <w:spacing w:line="240" w:lineRule="auto"/>
        <w:rPr>
          <w:rFonts w:ascii="宋体" w:hAnsi="宋体" w:cs="宋体"/>
        </w:rPr>
      </w:pPr>
      <w:r>
        <w:rPr>
          <w:rFonts w:hint="eastAsia" w:ascii="宋体" w:hAnsi="宋体" w:cs="宋体"/>
        </w:rPr>
        <w:t xml:space="preserve">      </w:t>
      </w:r>
      <w:r>
        <w:rPr>
          <w:rFonts w:hint="eastAsia" w:ascii="黑体" w:hAnsi="黑体" w:eastAsia="黑体" w:cs="黑体"/>
        </w:rPr>
        <w:t>8</w:t>
      </w:r>
      <w:r>
        <w:rPr>
          <w:rFonts w:hint="eastAsia" w:ascii="宋体" w:hAnsi="宋体" w:cs="宋体"/>
        </w:rPr>
        <w:t xml:space="preserve">  公共停车场（库）场地应平整、坚实、防滑，并应满足排水要求，室内停车场库地坡度应为0.2%~0.5%，室外停车场场地坡度应为0.3%~3.0%。</w:t>
      </w:r>
    </w:p>
    <w:p w14:paraId="7FACF55A">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 xml:space="preserve">当附建式停车设施与建（构）筑物主体结构连接时，不应对建（构）筑 物产生不利影响，并应符合下列规定：  </w:t>
      </w:r>
    </w:p>
    <w:p w14:paraId="0960C431">
      <w:pPr>
        <w:spacing w:line="240" w:lineRule="auto"/>
        <w:ind w:firstLine="630" w:firstLineChars="300"/>
        <w:rPr>
          <w:rFonts w:ascii="宋体" w:hAnsi="宋体" w:cs="宋体"/>
        </w:rPr>
      </w:pPr>
      <w:r>
        <w:rPr>
          <w:rFonts w:hint="eastAsia" w:ascii="黑体" w:hAnsi="黑体" w:eastAsia="黑体" w:cs="黑体"/>
        </w:rPr>
        <w:t>1</w:t>
      </w:r>
      <w:r>
        <w:rPr>
          <w:rFonts w:hint="eastAsia" w:ascii="宋体" w:hAnsi="宋体" w:cs="宋体"/>
        </w:rPr>
        <w:t xml:space="preserve">  应对原建（构）筑特进行检测和符合性验算，再根据检测和验算结果，进行连接设计。  </w:t>
      </w:r>
    </w:p>
    <w:p w14:paraId="673A692C">
      <w:pPr>
        <w:spacing w:line="240" w:lineRule="auto"/>
        <w:ind w:firstLine="630" w:firstLineChars="300"/>
        <w:rPr>
          <w:rFonts w:ascii="宋体" w:hAnsi="宋体" w:cs="宋体"/>
        </w:rPr>
      </w:pPr>
      <w:r>
        <w:rPr>
          <w:rFonts w:hint="eastAsia" w:ascii="黑体" w:hAnsi="黑体" w:eastAsia="黑体" w:cs="黑体"/>
        </w:rPr>
        <w:t>2</w:t>
      </w:r>
      <w:r>
        <w:rPr>
          <w:rFonts w:hint="eastAsia" w:ascii="宋体" w:hAnsi="宋体" w:cs="宋体"/>
        </w:rPr>
        <w:t xml:space="preserve">  应根据停车设备的运行特点，采取隔振和防噪措施。机械式停车库的噪声应符合《声环境质量标准》GB 3096 相关要求。</w:t>
      </w:r>
    </w:p>
    <w:p w14:paraId="3C50D837">
      <w:pPr>
        <w:pStyle w:val="108"/>
        <w:numPr>
          <w:ilvl w:val="2"/>
          <w:numId w:val="32"/>
        </w:numPr>
        <w:spacing w:before="312" w:after="312"/>
        <w:outlineLvl w:val="1"/>
      </w:pPr>
      <w:r>
        <w:rPr>
          <w:rFonts w:hint="eastAsia" w:hAnsi="黑体" w:cs="黑体"/>
          <w:szCs w:val="21"/>
          <w:lang w:bidi="ar"/>
        </w:rPr>
        <w:t>建筑设备</w:t>
      </w:r>
    </w:p>
    <w:p w14:paraId="10607ED8">
      <w:pPr>
        <w:pStyle w:val="108"/>
        <w:numPr>
          <w:ilvl w:val="3"/>
          <w:numId w:val="34"/>
        </w:numPr>
        <w:spacing w:before="312" w:after="312"/>
        <w:outlineLvl w:val="2"/>
      </w:pPr>
      <w:r>
        <w:rPr>
          <w:rFonts w:hint="eastAsia" w:hAnsi="黑体" w:cs="黑体"/>
          <w:szCs w:val="21"/>
          <w:lang w:bidi="ar"/>
        </w:rPr>
        <w:t>给排水系统</w:t>
      </w:r>
    </w:p>
    <w:p w14:paraId="38E4D6C7">
      <w:pPr>
        <w:pStyle w:val="108"/>
        <w:numPr>
          <w:ilvl w:val="4"/>
          <w:numId w:val="34"/>
        </w:numPr>
        <w:spacing w:before="0" w:beforeLines="0" w:after="0" w:afterLines="0"/>
        <w:outlineLvl w:val="9"/>
        <w:rPr>
          <w:rFonts w:ascii="宋体" w:hAnsi="宋体" w:eastAsia="宋体" w:cs="宋体"/>
          <w:spacing w:val="-2"/>
          <w:kern w:val="2"/>
          <w:szCs w:val="21"/>
        </w:rPr>
      </w:pPr>
      <w:r>
        <w:rPr>
          <w:rFonts w:hint="eastAsia" w:ascii="宋体" w:hAnsi="宋体" w:eastAsia="宋体" w:cs="宋体"/>
          <w:spacing w:val="-2"/>
          <w:kern w:val="2"/>
          <w:szCs w:val="21"/>
          <w:lang w:bidi="ar"/>
        </w:rPr>
        <w:t>公共停车场（库）的生产给水、生活给水、消防给水、绿化保洁给水系统应分开设置，并分别设置专用计量水表。生产、生活、绿化保洁用水应符合现行国家规范《建筑给水排水与节水通用规范》GB 55020、《建筑给水排水设计标准》GB 50015的规定。</w:t>
      </w:r>
    </w:p>
    <w:p w14:paraId="3203ABD7">
      <w:pPr>
        <w:pStyle w:val="108"/>
        <w:numPr>
          <w:ilvl w:val="4"/>
          <w:numId w:val="34"/>
        </w:numPr>
        <w:spacing w:before="0" w:beforeLines="0" w:after="0" w:afterLines="0"/>
        <w:outlineLvl w:val="9"/>
        <w:rPr>
          <w:rFonts w:ascii="宋体" w:hAnsi="宋体" w:eastAsia="宋体" w:cs="宋体"/>
          <w:spacing w:val="-2"/>
          <w:kern w:val="2"/>
          <w:szCs w:val="21"/>
          <w:lang w:bidi="ar"/>
        </w:rPr>
      </w:pPr>
      <w:r>
        <w:rPr>
          <w:rFonts w:hint="eastAsia" w:ascii="宋体" w:hAnsi="宋体" w:eastAsia="宋体" w:cs="宋体"/>
          <w:spacing w:val="-2"/>
          <w:kern w:val="2"/>
          <w:szCs w:val="21"/>
          <w:lang w:bidi="ar"/>
        </w:rPr>
        <w:t>给水系统宜利用城市市政给水管网直接供水，当水压或水量不足时应设置贮水调节和加压装置。</w:t>
      </w:r>
      <w:r>
        <w:rPr>
          <w:rFonts w:hint="eastAsia" w:ascii="宋体" w:hAnsi="宋体" w:eastAsia="宋体" w:cs="宋体"/>
          <w:kern w:val="2"/>
          <w:szCs w:val="21"/>
          <w:lang w:bidi="ar"/>
        </w:rPr>
        <w:t>机械式停车库外宜设置清洗停车设备的给水点，机动车库内车辆清洗区域应设给水设施，并宜</w:t>
      </w:r>
      <w:r>
        <w:rPr>
          <w:rFonts w:hint="eastAsia" w:ascii="宋体" w:hAnsi="宋体" w:eastAsia="宋体" w:cs="宋体"/>
          <w:spacing w:val="-2"/>
          <w:kern w:val="2"/>
          <w:szCs w:val="21"/>
          <w:lang w:bidi="ar"/>
        </w:rPr>
        <w:t>间隔80~100米在相对隐蔽和便于使用处设置保洁给水点，保洁给水龙头应具有锁闭功能。冲洗用水宜优先采用中水。</w:t>
      </w:r>
    </w:p>
    <w:p w14:paraId="6BAF45B2">
      <w:pPr>
        <w:pStyle w:val="108"/>
        <w:numPr>
          <w:ilvl w:val="4"/>
          <w:numId w:val="34"/>
        </w:numPr>
        <w:spacing w:before="0" w:beforeLines="0" w:after="0" w:afterLines="0"/>
        <w:outlineLvl w:val="9"/>
        <w:rPr>
          <w:rFonts w:ascii="宋体" w:hAnsi="宋体" w:eastAsia="宋体" w:cs="宋体"/>
          <w:kern w:val="2"/>
          <w:szCs w:val="21"/>
          <w:lang w:bidi="ar"/>
        </w:rPr>
      </w:pPr>
      <w:r>
        <w:rPr>
          <w:rFonts w:hint="eastAsia" w:ascii="宋体" w:hAnsi="宋体" w:eastAsia="宋体" w:cs="宋体"/>
          <w:kern w:val="2"/>
          <w:szCs w:val="21"/>
          <w:lang w:bidi="ar"/>
        </w:rPr>
        <w:t>机动车库应在停车层保洁给水口附近或其他有排水需求的部位设置楼地面排水系统，当采用地漏排水时，地漏管径不宜小于 DN100，地漏面板材质应考虑车辆碾压可能性。</w:t>
      </w:r>
      <w:r>
        <w:rPr>
          <w:rFonts w:hint="eastAsia" w:ascii="宋体" w:hAnsi="宋体" w:eastAsia="宋体" w:cs="宋体"/>
          <w:spacing w:val="-2"/>
          <w:kern w:val="2"/>
          <w:szCs w:val="21"/>
          <w:lang w:bidi="ar"/>
        </w:rPr>
        <w:t>公共停车场（库）的</w:t>
      </w:r>
      <w:r>
        <w:rPr>
          <w:rFonts w:hint="eastAsia" w:ascii="宋体" w:hAnsi="宋体" w:eastAsia="宋体" w:cs="宋体"/>
          <w:kern w:val="2"/>
          <w:szCs w:val="21"/>
          <w:lang w:bidi="ar"/>
        </w:rPr>
        <w:t>车辆清洗区域应设排水设施，并宜优先采用排水沟排水，洗车废水应经隔油设施处理后方可排放。</w:t>
      </w:r>
    </w:p>
    <w:p w14:paraId="684B7EB8">
      <w:pPr>
        <w:pStyle w:val="108"/>
        <w:numPr>
          <w:ilvl w:val="4"/>
          <w:numId w:val="34"/>
        </w:numPr>
        <w:spacing w:before="0" w:beforeLines="0" w:after="0" w:afterLines="0"/>
        <w:outlineLvl w:val="9"/>
        <w:rPr>
          <w:rFonts w:ascii="宋体" w:hAnsi="宋体" w:eastAsia="宋体" w:cs="宋体"/>
          <w:kern w:val="2"/>
          <w:szCs w:val="21"/>
          <w:lang w:bidi="ar"/>
        </w:rPr>
      </w:pPr>
      <w:r>
        <w:rPr>
          <w:rFonts w:hint="eastAsia" w:ascii="宋体" w:hAnsi="宋体" w:eastAsia="宋体" w:cs="宋体"/>
          <w:kern w:val="2"/>
          <w:szCs w:val="21"/>
          <w:lang w:bidi="ar"/>
        </w:rPr>
        <w:t>机动车</w:t>
      </w:r>
      <w:r>
        <w:rPr>
          <w:rFonts w:hint="eastAsia" w:ascii="宋体" w:hAnsi="宋体" w:eastAsia="宋体" w:cs="宋体"/>
          <w:spacing w:val="-2"/>
          <w:kern w:val="2"/>
          <w:szCs w:val="21"/>
          <w:lang w:bidi="ar"/>
        </w:rPr>
        <w:t>库内的给排水管道应避免布置在充电设施等电气设备的上方。</w:t>
      </w:r>
      <w:r>
        <w:rPr>
          <w:rFonts w:hint="eastAsia" w:ascii="宋体" w:hAnsi="宋体" w:eastAsia="宋体" w:cs="宋体"/>
          <w:kern w:val="2"/>
          <w:szCs w:val="21"/>
          <w:lang w:bidi="ar"/>
        </w:rPr>
        <w:t>给排水管道、设备的布设位置、安装方式不应影响停车位和车行道的正常使用，不应影响机械停车设备运行、维修等。集水坑不应布置在停车位及车行道区域，并避开机械停车设备。</w:t>
      </w:r>
    </w:p>
    <w:p w14:paraId="4A404802">
      <w:pPr>
        <w:pStyle w:val="108"/>
        <w:numPr>
          <w:ilvl w:val="4"/>
          <w:numId w:val="34"/>
        </w:numPr>
        <w:spacing w:before="0" w:beforeLines="0" w:after="0" w:afterLines="0"/>
        <w:outlineLvl w:val="9"/>
        <w:rPr>
          <w:rFonts w:ascii="宋体" w:hAnsi="宋体" w:eastAsia="宋体" w:cs="宋体"/>
          <w:kern w:val="2"/>
          <w:szCs w:val="21"/>
          <w:lang w:bidi="ar"/>
        </w:rPr>
      </w:pPr>
      <w:r>
        <w:rPr>
          <w:rFonts w:hint="eastAsia" w:ascii="宋体" w:hAnsi="宋体" w:eastAsia="宋体" w:cs="宋体"/>
          <w:kern w:val="2"/>
          <w:szCs w:val="21"/>
          <w:lang w:bidi="ar"/>
        </w:rPr>
        <w:t>公共停车场（库）排水系统的生活污水及废水应分类集中处理、排放，并符合现行国家标准《污水综合排放标准》GB 8978 和《污水排入城镇下水道水质标准》GB-T31962的规定。</w:t>
      </w:r>
    </w:p>
    <w:p w14:paraId="45D1651A">
      <w:pPr>
        <w:pStyle w:val="108"/>
        <w:numPr>
          <w:ilvl w:val="4"/>
          <w:numId w:val="34"/>
        </w:numPr>
        <w:spacing w:before="0" w:beforeLines="0" w:after="0" w:afterLines="0"/>
        <w:outlineLvl w:val="9"/>
        <w:rPr>
          <w:rFonts w:ascii="宋体" w:hAnsi="宋体" w:eastAsia="宋体" w:cs="宋体"/>
          <w:kern w:val="2"/>
          <w:szCs w:val="21"/>
          <w:lang w:bidi="ar"/>
        </w:rPr>
      </w:pPr>
      <w:r>
        <w:rPr>
          <w:rFonts w:hint="eastAsia" w:ascii="宋体" w:hAnsi="宋体" w:eastAsia="宋体" w:cs="宋体"/>
          <w:kern w:val="2"/>
          <w:szCs w:val="21"/>
          <w:lang w:bidi="ar"/>
        </w:rPr>
        <w:t>机械式停车库应在底部设置排除其内部积水的设施，满足消防事故水排放的要求。</w:t>
      </w:r>
      <w:r>
        <w:rPr>
          <w:rFonts w:hint="eastAsia" w:ascii="宋体" w:hAnsi="宋体" w:eastAsia="宋体" w:cs="宋体"/>
          <w:spacing w:val="-2"/>
          <w:kern w:val="2"/>
          <w:szCs w:val="21"/>
          <w:lang w:bidi="ar"/>
        </w:rPr>
        <w:t>敞开式车库排水设</w:t>
      </w:r>
      <w:r>
        <w:rPr>
          <w:rFonts w:hint="eastAsia" w:ascii="宋体" w:hAnsi="宋体" w:eastAsia="宋体" w:cs="宋体"/>
          <w:kern w:val="2"/>
          <w:szCs w:val="21"/>
          <w:lang w:bidi="ar"/>
        </w:rPr>
        <w:t>施应满足排放雨水的要求。</w:t>
      </w:r>
    </w:p>
    <w:p w14:paraId="6429F270">
      <w:pPr>
        <w:pStyle w:val="108"/>
        <w:numPr>
          <w:ilvl w:val="4"/>
          <w:numId w:val="34"/>
        </w:numPr>
        <w:spacing w:before="0" w:beforeLines="0" w:after="0" w:afterLines="0"/>
        <w:outlineLvl w:val="9"/>
        <w:rPr>
          <w:rFonts w:ascii="宋体" w:hAnsi="宋体" w:eastAsia="宋体" w:cs="宋体"/>
          <w:b/>
          <w:bCs/>
          <w:kern w:val="2"/>
          <w:szCs w:val="21"/>
          <w:lang w:bidi="ar"/>
        </w:rPr>
      </w:pPr>
      <w:r>
        <w:rPr>
          <w:rFonts w:hint="eastAsia" w:ascii="宋体" w:hAnsi="宋体" w:eastAsia="宋体" w:cs="宋体"/>
          <w:kern w:val="2"/>
          <w:szCs w:val="21"/>
          <w:lang w:bidi="ar"/>
        </w:rPr>
        <w:t>地面停车场的生活污水、消防及冲洗废水和大气降水宜重力自流排入城市污水及雨水排水系统，地面停车场的雨水收集应符合现行国家标准《建筑与小区雨水利用工程技术规范》GB  50400及厦门市海绵城市管控的相关要求。地下停车库的低洼处应分类集中设置排水泵站（房），提升排入相应市政排水系统。</w:t>
      </w:r>
    </w:p>
    <w:p w14:paraId="7C6F4E1E">
      <w:pPr>
        <w:pStyle w:val="108"/>
        <w:numPr>
          <w:ilvl w:val="4"/>
          <w:numId w:val="34"/>
        </w:numPr>
        <w:spacing w:before="0" w:beforeLines="0" w:after="0" w:afterLines="0"/>
        <w:outlineLvl w:val="9"/>
        <w:rPr>
          <w:rFonts w:ascii="宋体" w:hAnsi="宋体" w:eastAsia="宋体" w:cs="宋体"/>
          <w:kern w:val="2"/>
          <w:szCs w:val="21"/>
        </w:rPr>
      </w:pPr>
      <w:r>
        <w:rPr>
          <w:rFonts w:hint="eastAsia" w:ascii="宋体" w:hAnsi="宋体" w:eastAsia="宋体" w:cs="宋体"/>
          <w:kern w:val="2"/>
          <w:szCs w:val="21"/>
          <w:lang w:bidi="ar"/>
        </w:rPr>
        <w:t>地下停车库坡道排水量按设计重现期50年考虑排水泵选型，排水泵不应少于2台，紧急情况下可同时使用，积水排入雨水系统。</w:t>
      </w:r>
    </w:p>
    <w:p w14:paraId="72E50BAD">
      <w:pPr>
        <w:pStyle w:val="108"/>
        <w:numPr>
          <w:ilvl w:val="4"/>
          <w:numId w:val="34"/>
        </w:numPr>
        <w:spacing w:before="0" w:beforeLines="0" w:after="0" w:afterLines="0"/>
        <w:outlineLvl w:val="9"/>
        <w:rPr>
          <w:rFonts w:ascii="宋体" w:hAnsi="宋体" w:eastAsia="宋体" w:cs="宋体"/>
          <w:spacing w:val="-9"/>
          <w:kern w:val="2"/>
          <w:szCs w:val="21"/>
          <w:lang w:bidi="ar"/>
        </w:rPr>
      </w:pPr>
      <w:r>
        <w:rPr>
          <w:rFonts w:hint="eastAsia" w:ascii="宋体" w:hAnsi="宋体" w:eastAsia="宋体" w:cs="宋体"/>
          <w:spacing w:val="-2"/>
          <w:kern w:val="2"/>
          <w:szCs w:val="21"/>
          <w:lang w:bidi="ar"/>
        </w:rPr>
        <w:t>公共停车场（库）的消防用水及灭火设施应符合现行国家规范《汽车库、修车库、停车场</w:t>
      </w:r>
      <w:r>
        <w:rPr>
          <w:rFonts w:hint="eastAsia" w:ascii="宋体" w:hAnsi="宋体" w:eastAsia="宋体" w:cs="宋体"/>
          <w:spacing w:val="-9"/>
          <w:kern w:val="2"/>
          <w:szCs w:val="21"/>
          <w:lang w:bidi="ar"/>
        </w:rPr>
        <w:t>设计防火规范》GB 50067、《电动汽车充电站设计规范》GB 50966、《建筑防火通用规范》GB 55037、《建筑设计防火规范》GB 50016、《消防设施通用规范》GB 55036、《消防给水及消火栓系统技术规范》GB 50974、《自动喷水灭火系统设计规范》GB 50084、《建筑灭火器配置设计规范》GB 50140及《厦门市电动自行车停放充电场所消防安全导则（试行）》等有关规定。</w:t>
      </w:r>
    </w:p>
    <w:p w14:paraId="384C087A">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kern w:val="2"/>
          <w:szCs w:val="21"/>
          <w:lang w:bidi="ar"/>
        </w:rPr>
        <w:t>电动汽车室外充电区应配置灭火器。市政消火栓、室外消火栓、消防水泵接合器等室外消防设施周围应设置防止机动车辆撞击的设施。消火栓、消防水泵接合器两侧沿道路方向各5m范围内禁止停放机动车，并应在明显位置设置警示标志。</w:t>
      </w:r>
    </w:p>
    <w:p w14:paraId="4CB17E3F">
      <w:pPr>
        <w:pStyle w:val="108"/>
        <w:numPr>
          <w:ilvl w:val="3"/>
          <w:numId w:val="34"/>
        </w:numPr>
        <w:spacing w:before="312" w:after="312"/>
        <w:outlineLvl w:val="2"/>
      </w:pPr>
      <w:r>
        <w:rPr>
          <w:rFonts w:hint="eastAsia" w:hAnsi="黑体" w:cs="黑体"/>
          <w:kern w:val="2"/>
          <w:szCs w:val="21"/>
        </w:rPr>
        <w:t>通风（智能通风）</w:t>
      </w:r>
      <w:r>
        <w:rPr>
          <w:rFonts w:hint="eastAsia" w:hAnsi="黑体" w:cs="黑体"/>
          <w:szCs w:val="21"/>
          <w:lang w:bidi="ar"/>
        </w:rPr>
        <w:t>系统</w:t>
      </w:r>
    </w:p>
    <w:p w14:paraId="4A2D56A4">
      <w:pPr>
        <w:pStyle w:val="108"/>
        <w:numPr>
          <w:ilvl w:val="4"/>
          <w:numId w:val="34"/>
        </w:numPr>
        <w:spacing w:before="0" w:beforeLines="0" w:after="0" w:afterLines="0"/>
        <w:outlineLvl w:val="9"/>
        <w:rPr>
          <w:rFonts w:ascii="宋体" w:hAnsi="宋体" w:eastAsia="宋体" w:cs="宋体"/>
          <w:shd w:val="clear" w:color="auto" w:fill="FFFFFF"/>
        </w:rPr>
      </w:pPr>
      <w:r>
        <w:rPr>
          <w:rFonts w:hint="eastAsia" w:ascii="宋体" w:hAnsi="宋体" w:eastAsia="宋体" w:cs="宋体"/>
          <w:szCs w:val="21"/>
          <w:shd w:val="clear" w:color="auto" w:fill="FFFFFF"/>
          <w:lang w:bidi="ar"/>
        </w:rPr>
        <w:t>应优先采用自然通风的方式。当自然通风无法满足要求时，应采用机械通风或自然通风和机械通风相结合的复合通风。受层高限制时，可采用诱导式通风 。</w:t>
      </w:r>
    </w:p>
    <w:p w14:paraId="2C129490">
      <w:pPr>
        <w:pStyle w:val="108"/>
        <w:numPr>
          <w:ilvl w:val="4"/>
          <w:numId w:val="34"/>
        </w:numPr>
        <w:spacing w:before="0" w:beforeLines="0" w:after="0" w:afterLines="0"/>
        <w:outlineLvl w:val="9"/>
        <w:rPr>
          <w:rFonts w:ascii="宋体" w:hAnsi="宋体" w:eastAsia="宋体" w:cs="宋体"/>
          <w:shd w:val="clear" w:color="auto" w:fill="FFFFFF"/>
        </w:rPr>
      </w:pPr>
      <w:r>
        <w:rPr>
          <w:rFonts w:hint="eastAsia" w:ascii="宋体" w:hAnsi="宋体" w:eastAsia="宋体" w:cs="宋体"/>
          <w:szCs w:val="21"/>
          <w:shd w:val="clear" w:color="auto" w:fill="FFFFFF"/>
          <w:lang w:bidi="ar"/>
        </w:rPr>
        <w:t>通风系统应尽量使气流分布均匀，减少通风死角。</w:t>
      </w:r>
    </w:p>
    <w:p w14:paraId="7CE26548">
      <w:pPr>
        <w:pStyle w:val="108"/>
        <w:numPr>
          <w:ilvl w:val="4"/>
          <w:numId w:val="34"/>
        </w:numPr>
        <w:spacing w:before="0" w:beforeLines="0" w:after="0" w:afterLines="0"/>
        <w:outlineLvl w:val="9"/>
        <w:rPr>
          <w:rFonts w:ascii="宋体" w:hAnsi="宋体" w:eastAsia="宋体" w:cs="宋体"/>
        </w:rPr>
      </w:pPr>
      <w:r>
        <w:rPr>
          <w:rFonts w:hint="eastAsia" w:ascii="宋体" w:hAnsi="宋体" w:eastAsia="宋体" w:cs="宋体"/>
          <w:szCs w:val="21"/>
          <w:shd w:val="clear" w:color="auto" w:fill="FFFFFF"/>
          <w:lang w:bidi="ar"/>
        </w:rPr>
        <w:t>公共</w:t>
      </w:r>
      <w:r>
        <w:rPr>
          <w:rFonts w:hint="eastAsia" w:ascii="宋体" w:hAnsi="宋体" w:eastAsia="宋体" w:cs="宋体"/>
          <w:kern w:val="2"/>
          <w:szCs w:val="21"/>
          <w:lang w:bidi="ar"/>
        </w:rPr>
        <w:t>停车场（库）</w:t>
      </w:r>
      <w:r>
        <w:rPr>
          <w:rFonts w:hint="eastAsia" w:ascii="宋体" w:hAnsi="宋体" w:eastAsia="宋体" w:cs="宋体"/>
          <w:szCs w:val="21"/>
          <w:lang w:bidi="ar"/>
        </w:rPr>
        <w:t>机</w:t>
      </w:r>
      <w:r>
        <w:rPr>
          <w:rFonts w:hint="eastAsia" w:ascii="宋体" w:hAnsi="宋体" w:eastAsia="宋体" w:cs="宋体"/>
          <w:kern w:val="2"/>
          <w:szCs w:val="21"/>
          <w:lang w:bidi="ar"/>
        </w:rPr>
        <w:t>械通风量应按现行国家标准《车库建筑设计规范》</w:t>
      </w:r>
      <w:r>
        <w:rPr>
          <w:rFonts w:hint="eastAsia" w:ascii="宋体" w:hAnsi="宋体" w:eastAsia="宋体" w:cs="宋体"/>
          <w:szCs w:val="21"/>
          <w:lang w:bidi="ar"/>
        </w:rPr>
        <w:t xml:space="preserve">JGJ100 </w:t>
      </w:r>
      <w:r>
        <w:rPr>
          <w:rFonts w:hint="eastAsia" w:ascii="宋体" w:hAnsi="宋体" w:eastAsia="宋体" w:cs="宋体"/>
          <w:kern w:val="2"/>
          <w:szCs w:val="21"/>
          <w:lang w:bidi="ar"/>
        </w:rPr>
        <w:t>第7.3.3-7.3.5条进行计算。</w:t>
      </w:r>
    </w:p>
    <w:p w14:paraId="0A7A0331">
      <w:pPr>
        <w:pStyle w:val="108"/>
        <w:numPr>
          <w:ilvl w:val="4"/>
          <w:numId w:val="34"/>
        </w:numPr>
        <w:spacing w:before="0" w:beforeLines="0" w:after="0" w:afterLines="0"/>
        <w:outlineLvl w:val="9"/>
        <w:rPr>
          <w:rFonts w:ascii="宋体" w:hAnsi="宋体" w:eastAsia="宋体" w:cs="宋体"/>
          <w:shd w:val="clear" w:color="auto" w:fill="FFFFFF"/>
        </w:rPr>
      </w:pPr>
      <w:r>
        <w:rPr>
          <w:rFonts w:hint="eastAsia" w:ascii="宋体" w:hAnsi="宋体" w:eastAsia="宋体" w:cs="宋体"/>
          <w:szCs w:val="21"/>
          <w:shd w:val="clear" w:color="auto" w:fill="FFFFFF"/>
          <w:lang w:bidi="ar"/>
        </w:rPr>
        <w:t>公共</w:t>
      </w:r>
      <w:r>
        <w:rPr>
          <w:rFonts w:hint="eastAsia" w:ascii="宋体" w:hAnsi="宋体" w:eastAsia="宋体" w:cs="宋体"/>
          <w:kern w:val="2"/>
          <w:szCs w:val="21"/>
          <w:lang w:bidi="ar"/>
        </w:rPr>
        <w:t>停车场（库）通</w:t>
      </w:r>
      <w:r>
        <w:rPr>
          <w:rFonts w:hint="eastAsia" w:ascii="宋体" w:hAnsi="宋体" w:eastAsia="宋体" w:cs="宋体"/>
          <w:szCs w:val="21"/>
          <w:shd w:val="clear" w:color="auto" w:fill="FFFFFF"/>
          <w:lang w:bidi="ar"/>
        </w:rPr>
        <w:t>风机应设置调速装置或采用多台并联的方式。</w:t>
      </w:r>
    </w:p>
    <w:p w14:paraId="56310E1C">
      <w:pPr>
        <w:pStyle w:val="108"/>
        <w:numPr>
          <w:ilvl w:val="4"/>
          <w:numId w:val="34"/>
        </w:numPr>
        <w:spacing w:before="0" w:beforeLines="0" w:after="0" w:afterLines="0"/>
        <w:outlineLvl w:val="9"/>
        <w:rPr>
          <w:rFonts w:ascii="宋体" w:hAnsi="宋体" w:eastAsia="宋体" w:cs="宋体"/>
          <w:shd w:val="clear" w:color="auto" w:fill="FFFFFF"/>
        </w:rPr>
      </w:pPr>
      <w:r>
        <w:rPr>
          <w:rFonts w:hint="eastAsia" w:ascii="宋体" w:hAnsi="宋体" w:eastAsia="宋体" w:cs="宋体"/>
          <w:szCs w:val="21"/>
          <w:shd w:val="clear" w:color="auto" w:fill="FFFFFF"/>
          <w:lang w:bidi="ar"/>
        </w:rPr>
        <w:t>设置机械通风系统的停车</w:t>
      </w:r>
      <w:r>
        <w:rPr>
          <w:rFonts w:hint="eastAsia" w:ascii="宋体" w:hAnsi="宋体" w:eastAsia="宋体" w:cs="宋体"/>
          <w:kern w:val="2"/>
          <w:szCs w:val="21"/>
          <w:lang w:bidi="ar"/>
        </w:rPr>
        <w:t>场（库）</w:t>
      </w:r>
      <w:r>
        <w:rPr>
          <w:rFonts w:hint="eastAsia" w:ascii="宋体" w:hAnsi="宋体" w:eastAsia="宋体" w:cs="宋体"/>
          <w:szCs w:val="21"/>
          <w:shd w:val="clear" w:color="auto" w:fill="FFFFFF"/>
          <w:lang w:bidi="ar"/>
        </w:rPr>
        <w:t>应设置与排风设备联动的一氧化碳浓度监测装置。</w:t>
      </w:r>
    </w:p>
    <w:p w14:paraId="1251AD2C">
      <w:pPr>
        <w:pStyle w:val="108"/>
        <w:numPr>
          <w:ilvl w:val="4"/>
          <w:numId w:val="34"/>
        </w:numPr>
        <w:spacing w:before="0" w:beforeLines="0" w:after="0" w:afterLines="0"/>
        <w:outlineLvl w:val="9"/>
        <w:rPr>
          <w:rFonts w:ascii="宋体" w:hAnsi="宋体" w:eastAsia="宋体" w:cs="宋体"/>
          <w:shd w:val="clear" w:color="auto" w:fill="FFFFFF"/>
        </w:rPr>
      </w:pPr>
      <w:r>
        <w:rPr>
          <w:rFonts w:hint="eastAsia" w:ascii="宋体" w:hAnsi="宋体" w:eastAsia="宋体" w:cs="宋体"/>
          <w:b/>
          <w:bCs/>
          <w:szCs w:val="21"/>
          <w:shd w:val="clear" w:color="auto" w:fill="FFFFFF"/>
          <w:lang w:bidi="ar"/>
        </w:rPr>
        <w:t xml:space="preserve"> </w:t>
      </w:r>
      <w:r>
        <w:rPr>
          <w:rFonts w:hint="eastAsia" w:ascii="宋体" w:hAnsi="宋体" w:eastAsia="宋体" w:cs="宋体"/>
          <w:szCs w:val="21"/>
          <w:shd w:val="clear" w:color="auto" w:fill="FFFFFF"/>
          <w:lang w:bidi="ar"/>
        </w:rPr>
        <w:t>防排烟设计应符合《建筑设计防火规范》 GB 50016、 《汽车库、修车库、停车场设计防火规范》GB</w:t>
      </w:r>
      <w:r>
        <w:rPr>
          <w:rFonts w:ascii="宋体" w:hAnsi="宋体" w:cs="宋体"/>
          <w:szCs w:val="21"/>
          <w:shd w:val="clear" w:color="auto" w:fill="FFFFFF"/>
          <w:lang w:bidi="ar"/>
        </w:rPr>
        <w:t xml:space="preserve"> </w:t>
      </w:r>
      <w:r>
        <w:rPr>
          <w:rFonts w:hint="eastAsia" w:ascii="宋体" w:hAnsi="宋体" w:eastAsia="宋体" w:cs="宋体"/>
          <w:szCs w:val="21"/>
          <w:shd w:val="clear" w:color="auto" w:fill="FFFFFF"/>
          <w:lang w:bidi="ar"/>
        </w:rPr>
        <w:t>50067、《建筑防烟排烟系统技术标准》GB 51251等现行国家标准的相关规定。</w:t>
      </w:r>
    </w:p>
    <w:p w14:paraId="40D813A3">
      <w:pPr>
        <w:pStyle w:val="108"/>
        <w:numPr>
          <w:ilvl w:val="3"/>
          <w:numId w:val="34"/>
        </w:numPr>
        <w:spacing w:before="312" w:after="312"/>
        <w:outlineLvl w:val="2"/>
      </w:pPr>
      <w:r>
        <w:rPr>
          <w:rFonts w:hint="eastAsia" w:hAnsi="黑体" w:cs="黑体"/>
          <w:kern w:val="2"/>
          <w:szCs w:val="21"/>
        </w:rPr>
        <w:t>电气</w:t>
      </w:r>
      <w:r>
        <w:rPr>
          <w:rFonts w:hint="eastAsia" w:hAnsi="黑体" w:cs="黑体"/>
          <w:szCs w:val="21"/>
          <w:lang w:bidi="ar"/>
        </w:rPr>
        <w:t>系统</w:t>
      </w:r>
    </w:p>
    <w:p w14:paraId="590FEACB">
      <w:pPr>
        <w:pStyle w:val="108"/>
        <w:numPr>
          <w:ilvl w:val="4"/>
          <w:numId w:val="34"/>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lang w:bidi="ar"/>
        </w:rPr>
        <w:t>停车库供电系统的设置应符合 《</w:t>
      </w:r>
      <w:r>
        <w:rPr>
          <w:rFonts w:hint="eastAsia" w:ascii="宋体" w:hAnsi="宋体" w:eastAsia="宋体" w:cs="宋体"/>
          <w:bCs/>
          <w:color w:val="000000"/>
          <w:kern w:val="2"/>
          <w:szCs w:val="21"/>
          <w:lang w:bidi="ar"/>
        </w:rPr>
        <w:t xml:space="preserve">汽车库、修车库、停车场设计防火规范》 </w:t>
      </w:r>
      <w:r>
        <w:rPr>
          <w:rFonts w:hint="eastAsia" w:ascii="宋体" w:hAnsi="宋体" w:eastAsia="宋体" w:cs="宋体"/>
          <w:color w:val="000000"/>
          <w:szCs w:val="21"/>
          <w:shd w:val="clear" w:color="auto" w:fill="FFFFFF"/>
          <w:lang w:bidi="ar"/>
        </w:rPr>
        <w:t>GB 50067（第9.0.1、9.0.2条） 、《车库建筑设计规范》 JGJ 100的相关要求（第7.4.1条）；机械式停车（场）库停车设备供电系统的设置尚应符合《机械式停车设备设计规范》 GB/T 39980的要求。</w:t>
      </w:r>
    </w:p>
    <w:p w14:paraId="69A80FAD">
      <w:pPr>
        <w:pStyle w:val="108"/>
        <w:numPr>
          <w:ilvl w:val="4"/>
          <w:numId w:val="34"/>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lang w:bidi="ar"/>
        </w:rPr>
        <w:t>停车库内照明</w:t>
      </w:r>
      <w:r>
        <w:rPr>
          <w:rFonts w:hint="eastAsia" w:ascii="宋体" w:hAnsi="宋体" w:eastAsia="宋体" w:cs="宋体"/>
          <w:color w:val="000000"/>
          <w:kern w:val="2"/>
          <w:szCs w:val="21"/>
          <w:lang w:bidi="ar"/>
        </w:rPr>
        <w:t>应亮度分布均匀，</w:t>
      </w:r>
      <w:r>
        <w:rPr>
          <w:rFonts w:hint="eastAsia" w:ascii="宋体" w:hAnsi="宋体" w:eastAsia="宋体" w:cs="宋体"/>
          <w:color w:val="000000"/>
          <w:szCs w:val="21"/>
          <w:shd w:val="clear" w:color="auto" w:fill="FFFFFF"/>
          <w:lang w:bidi="ar"/>
        </w:rPr>
        <w:t xml:space="preserve">避免眩光，各部位的照度标准值应符合 《建筑照明设计标准》 GB 50034 </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632"/>
        <w:gridCol w:w="1244"/>
        <w:gridCol w:w="897"/>
        <w:gridCol w:w="1244"/>
        <w:gridCol w:w="1265"/>
        <w:gridCol w:w="1592"/>
      </w:tblGrid>
      <w:tr w14:paraId="1DC0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 w:type="pct"/>
            <w:tcBorders>
              <w:top w:val="single" w:color="auto" w:sz="4" w:space="0"/>
              <w:left w:val="single" w:color="auto" w:sz="4" w:space="0"/>
              <w:bottom w:val="single" w:color="auto" w:sz="4" w:space="0"/>
              <w:right w:val="single" w:color="auto" w:sz="4" w:space="0"/>
            </w:tcBorders>
            <w:shd w:val="clear" w:color="auto" w:fill="auto"/>
          </w:tcPr>
          <w:p w14:paraId="669105EA">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公共车库</w:t>
            </w:r>
          </w:p>
        </w:tc>
        <w:tc>
          <w:tcPr>
            <w:tcW w:w="853" w:type="pct"/>
            <w:tcBorders>
              <w:top w:val="single" w:color="auto" w:sz="4" w:space="0"/>
              <w:left w:val="single" w:color="auto" w:sz="4" w:space="0"/>
              <w:bottom w:val="single" w:color="auto" w:sz="4" w:space="0"/>
              <w:right w:val="single" w:color="auto" w:sz="4" w:space="0"/>
            </w:tcBorders>
            <w:shd w:val="clear" w:color="auto" w:fill="auto"/>
          </w:tcPr>
          <w:p w14:paraId="368008BD">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地面</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10917C99">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50</w:t>
            </w: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6912F68D">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14DF256F">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0.60</w:t>
            </w:r>
          </w:p>
        </w:tc>
        <w:tc>
          <w:tcPr>
            <w:tcW w:w="661" w:type="pct"/>
            <w:tcBorders>
              <w:top w:val="single" w:color="auto" w:sz="4" w:space="0"/>
              <w:left w:val="single" w:color="auto" w:sz="4" w:space="0"/>
              <w:bottom w:val="single" w:color="auto" w:sz="4" w:space="0"/>
              <w:right w:val="single" w:color="auto" w:sz="4" w:space="0"/>
            </w:tcBorders>
            <w:shd w:val="clear" w:color="auto" w:fill="auto"/>
          </w:tcPr>
          <w:p w14:paraId="3BEEBA57">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60</w:t>
            </w:r>
          </w:p>
        </w:tc>
        <w:tc>
          <w:tcPr>
            <w:tcW w:w="832" w:type="pct"/>
            <w:tcBorders>
              <w:top w:val="single" w:color="auto" w:sz="4" w:space="0"/>
              <w:left w:val="single" w:color="auto" w:sz="4" w:space="0"/>
              <w:bottom w:val="single" w:color="auto" w:sz="4" w:space="0"/>
              <w:right w:val="single" w:color="auto" w:sz="4" w:space="0"/>
            </w:tcBorders>
            <w:shd w:val="clear" w:color="auto" w:fill="auto"/>
          </w:tcPr>
          <w:p w14:paraId="1AB13FF8">
            <w:pPr>
              <w:spacing w:line="240" w:lineRule="auto"/>
              <w:rPr>
                <w:rFonts w:ascii="宋体" w:hAnsi="宋体" w:cs="宋体"/>
                <w:color w:val="000000"/>
                <w:kern w:val="0"/>
                <w:shd w:val="clear" w:color="auto" w:fill="FFFFFF"/>
              </w:rPr>
            </w:pPr>
            <w:r>
              <w:rPr>
                <w:rFonts w:hint="eastAsia" w:ascii="宋体" w:hAnsi="宋体" w:cs="宋体"/>
                <w:color w:val="000000"/>
                <w:kern w:val="0"/>
                <w:shd w:val="clear" w:color="auto" w:fill="FFFFFF"/>
                <w:lang w:bidi="ar"/>
              </w:rPr>
              <w:t xml:space="preserve">    -</w:t>
            </w:r>
          </w:p>
        </w:tc>
      </w:tr>
    </w:tbl>
    <w:p w14:paraId="226C06AC">
      <w:pPr>
        <w:spacing w:line="240" w:lineRule="auto"/>
        <w:rPr>
          <w:rFonts w:ascii="宋体" w:hAnsi="宋体" w:cs="宋体"/>
          <w:color w:val="000000"/>
        </w:rPr>
      </w:pPr>
      <w:r>
        <w:rPr>
          <w:rFonts w:hint="eastAsia" w:ascii="宋体" w:hAnsi="宋体" w:cs="宋体"/>
          <w:color w:val="000000"/>
          <w:kern w:val="0"/>
          <w:shd w:val="clear" w:color="auto" w:fill="FFFFFF"/>
          <w:lang w:bidi="ar"/>
        </w:rPr>
        <w:t>和《车库建筑设计规范》 JGJ 100的相关要求，</w:t>
      </w:r>
      <w:r>
        <w:rPr>
          <w:rFonts w:hint="eastAsia" w:ascii="宋体" w:hAnsi="宋体" w:cs="宋体"/>
          <w:color w:val="000000"/>
          <w:lang w:bidi="ar"/>
        </w:rPr>
        <w:t>宜按使用需求采用可自动调节照度的自动（含智能控制）照明控制系统。各部位照明标准值宜符合表15.3.2的规定，当有特殊要求时，照明标准值可提高或降低一级。</w:t>
      </w:r>
    </w:p>
    <w:p w14:paraId="490C94DA">
      <w:pPr>
        <w:spacing w:line="240" w:lineRule="auto"/>
        <w:rPr>
          <w:rFonts w:ascii="宋体" w:hAnsi="宋体" w:cs="宋体"/>
          <w:b/>
          <w:bCs/>
          <w:color w:val="000000"/>
        </w:rPr>
      </w:pPr>
      <w:r>
        <w:rPr>
          <w:rFonts w:hint="eastAsia" w:ascii="宋体" w:hAnsi="宋体" w:cs="宋体"/>
          <w:color w:val="000000"/>
          <w:lang w:bidi="ar"/>
        </w:rPr>
        <w:t xml:space="preserve">                              表15.3.2照明标准值</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869"/>
        <w:gridCol w:w="1217"/>
        <w:gridCol w:w="1244"/>
        <w:gridCol w:w="869"/>
        <w:gridCol w:w="1229"/>
        <w:gridCol w:w="1139"/>
        <w:gridCol w:w="934"/>
      </w:tblGrid>
      <w:tr w14:paraId="00706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533" w:type="pct"/>
            <w:gridSpan w:val="2"/>
            <w:vMerge w:val="restart"/>
            <w:tcBorders>
              <w:top w:val="single" w:color="auto" w:sz="4" w:space="0"/>
              <w:left w:val="single" w:color="auto" w:sz="4" w:space="0"/>
              <w:bottom w:val="single" w:color="auto" w:sz="4" w:space="0"/>
              <w:right w:val="single" w:color="auto" w:sz="4" w:space="0"/>
            </w:tcBorders>
            <w:shd w:val="clear" w:color="auto" w:fill="auto"/>
          </w:tcPr>
          <w:p w14:paraId="66E9B16D">
            <w:pPr>
              <w:spacing w:line="240" w:lineRule="auto"/>
              <w:rPr>
                <w:rFonts w:ascii="宋体" w:hAnsi="宋体" w:cs="宋体"/>
                <w:color w:val="000000"/>
              </w:rPr>
            </w:pPr>
            <w:r>
              <w:rPr>
                <w:rFonts w:hint="eastAsia" w:ascii="宋体" w:hAnsi="宋体" w:cs="宋体"/>
                <w:color w:val="000000"/>
                <w:lang w:bidi="ar"/>
              </w:rPr>
              <w:t xml:space="preserve">       名称</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tcPr>
          <w:p w14:paraId="570B1709">
            <w:pPr>
              <w:spacing w:line="240" w:lineRule="auto"/>
              <w:rPr>
                <w:rFonts w:ascii="宋体" w:hAnsi="宋体" w:cs="宋体"/>
                <w:color w:val="000000"/>
              </w:rPr>
            </w:pPr>
            <w:r>
              <w:rPr>
                <w:rFonts w:hint="eastAsia" w:ascii="宋体" w:hAnsi="宋体" w:cs="宋体"/>
                <w:color w:val="000000"/>
                <w:lang w:bidi="ar"/>
              </w:rPr>
              <w:t>规定照度作业面</w:t>
            </w:r>
          </w:p>
        </w:tc>
        <w:tc>
          <w:tcPr>
            <w:tcW w:w="650" w:type="pct"/>
            <w:vMerge w:val="restart"/>
            <w:tcBorders>
              <w:top w:val="single" w:color="auto" w:sz="4" w:space="0"/>
              <w:left w:val="single" w:color="auto" w:sz="4" w:space="0"/>
              <w:bottom w:val="single" w:color="auto" w:sz="4" w:space="0"/>
              <w:right w:val="single" w:color="auto" w:sz="4" w:space="0"/>
            </w:tcBorders>
            <w:shd w:val="clear" w:color="auto" w:fill="auto"/>
          </w:tcPr>
          <w:p w14:paraId="79379C15">
            <w:pPr>
              <w:spacing w:line="240" w:lineRule="auto"/>
              <w:rPr>
                <w:rFonts w:ascii="宋体" w:hAnsi="宋体" w:cs="宋体"/>
                <w:color w:val="000000"/>
              </w:rPr>
            </w:pPr>
            <w:r>
              <w:rPr>
                <w:rFonts w:hint="eastAsia" w:ascii="宋体" w:hAnsi="宋体" w:cs="宋体"/>
                <w:color w:val="000000"/>
                <w:lang w:bidi="ar"/>
              </w:rPr>
              <w:t xml:space="preserve">  照度</w:t>
            </w:r>
          </w:p>
          <w:p w14:paraId="61F78754">
            <w:pPr>
              <w:spacing w:line="240" w:lineRule="auto"/>
              <w:rPr>
                <w:rFonts w:ascii="宋体" w:hAnsi="宋体" w:cs="宋体"/>
                <w:color w:val="000000"/>
              </w:rPr>
            </w:pPr>
            <w:r>
              <w:rPr>
                <w:rFonts w:hint="eastAsia" w:ascii="宋体" w:hAnsi="宋体" w:cs="宋体"/>
                <w:color w:val="000000"/>
                <w:lang w:bidi="ar"/>
              </w:rPr>
              <w:t xml:space="preserve"> （lx）</w:t>
            </w:r>
          </w:p>
        </w:tc>
        <w:tc>
          <w:tcPr>
            <w:tcW w:w="454" w:type="pct"/>
            <w:vMerge w:val="restart"/>
            <w:tcBorders>
              <w:top w:val="single" w:color="auto" w:sz="4" w:space="0"/>
              <w:left w:val="single" w:color="auto" w:sz="4" w:space="0"/>
              <w:bottom w:val="single" w:color="auto" w:sz="4" w:space="0"/>
              <w:right w:val="single" w:color="auto" w:sz="4" w:space="0"/>
            </w:tcBorders>
            <w:shd w:val="clear" w:color="auto" w:fill="auto"/>
          </w:tcPr>
          <w:p w14:paraId="6DEF67E5">
            <w:pPr>
              <w:spacing w:line="240" w:lineRule="auto"/>
              <w:rPr>
                <w:rFonts w:ascii="宋体" w:hAnsi="宋体" w:cs="宋体"/>
                <w:color w:val="000000"/>
              </w:rPr>
            </w:pPr>
            <w:r>
              <w:rPr>
                <w:rFonts w:hint="eastAsia" w:ascii="宋体" w:hAnsi="宋体" w:cs="宋体"/>
                <w:color w:val="000000"/>
                <w:lang w:bidi="ar"/>
              </w:rPr>
              <w:t>眩光值</w:t>
            </w:r>
          </w:p>
          <w:p w14:paraId="231DA96C">
            <w:pPr>
              <w:spacing w:line="240" w:lineRule="auto"/>
              <w:rPr>
                <w:rFonts w:ascii="宋体" w:hAnsi="宋体" w:cs="宋体"/>
                <w:color w:val="000000"/>
              </w:rPr>
            </w:pPr>
            <w:r>
              <w:rPr>
                <w:rFonts w:hint="eastAsia" w:ascii="宋体" w:hAnsi="宋体" w:cs="宋体"/>
                <w:color w:val="000000"/>
                <w:lang w:bidi="ar"/>
              </w:rPr>
              <w:t xml:space="preserve"> UGR</w:t>
            </w:r>
          </w:p>
        </w:tc>
        <w:tc>
          <w:tcPr>
            <w:tcW w:w="642" w:type="pct"/>
            <w:vMerge w:val="restart"/>
            <w:tcBorders>
              <w:top w:val="single" w:color="auto" w:sz="4" w:space="0"/>
              <w:left w:val="single" w:color="auto" w:sz="4" w:space="0"/>
              <w:bottom w:val="single" w:color="auto" w:sz="4" w:space="0"/>
              <w:right w:val="single" w:color="auto" w:sz="4" w:space="0"/>
            </w:tcBorders>
            <w:shd w:val="clear" w:color="auto" w:fill="auto"/>
          </w:tcPr>
          <w:p w14:paraId="1F037490">
            <w:pPr>
              <w:spacing w:line="240" w:lineRule="auto"/>
              <w:rPr>
                <w:rFonts w:ascii="宋体" w:hAnsi="宋体" w:cs="宋体"/>
                <w:color w:val="000000"/>
              </w:rPr>
            </w:pPr>
            <w:r>
              <w:rPr>
                <w:rFonts w:hint="eastAsia" w:ascii="宋体" w:hAnsi="宋体" w:cs="宋体"/>
                <w:color w:val="000000"/>
                <w:lang w:bidi="ar"/>
              </w:rPr>
              <w:t>显色指数</w:t>
            </w:r>
          </w:p>
          <w:p w14:paraId="5E014613">
            <w:pPr>
              <w:spacing w:line="240" w:lineRule="auto"/>
              <w:rPr>
                <w:rFonts w:ascii="宋体" w:hAnsi="宋体" w:cs="宋体"/>
                <w:color w:val="000000"/>
              </w:rPr>
            </w:pPr>
            <w:r>
              <w:rPr>
                <w:rFonts w:hint="eastAsia" w:ascii="宋体" w:hAnsi="宋体" w:cs="宋体"/>
                <w:color w:val="000000"/>
                <w:lang w:bidi="ar"/>
              </w:rPr>
              <w:t xml:space="preserve">   Ra</w:t>
            </w:r>
          </w:p>
        </w:tc>
        <w:tc>
          <w:tcPr>
            <w:tcW w:w="1083" w:type="pct"/>
            <w:gridSpan w:val="2"/>
            <w:tcBorders>
              <w:top w:val="single" w:color="auto" w:sz="4" w:space="0"/>
              <w:left w:val="single" w:color="auto" w:sz="4" w:space="0"/>
              <w:bottom w:val="single" w:color="auto" w:sz="4" w:space="0"/>
              <w:right w:val="single" w:color="auto" w:sz="4" w:space="0"/>
            </w:tcBorders>
            <w:shd w:val="clear" w:color="auto" w:fill="auto"/>
          </w:tcPr>
          <w:p w14:paraId="6705725F">
            <w:pPr>
              <w:spacing w:line="240" w:lineRule="auto"/>
              <w:rPr>
                <w:rFonts w:ascii="宋体" w:hAnsi="宋体" w:cs="宋体"/>
                <w:color w:val="000000"/>
              </w:rPr>
            </w:pPr>
            <w:r>
              <w:rPr>
                <w:rFonts w:hint="eastAsia" w:ascii="宋体" w:hAnsi="宋体" w:cs="宋体"/>
                <w:color w:val="000000"/>
                <w:lang w:bidi="ar"/>
              </w:rPr>
              <w:t>功率密度（W/m</w:t>
            </w:r>
            <w:r>
              <w:rPr>
                <w:rFonts w:hint="eastAsia" w:ascii="宋体" w:hAnsi="宋体" w:cs="宋体"/>
                <w:color w:val="000000"/>
                <w:vertAlign w:val="superscript"/>
                <w:lang w:bidi="ar"/>
              </w:rPr>
              <w:t>2</w:t>
            </w:r>
            <w:r>
              <w:rPr>
                <w:rFonts w:hint="eastAsia" w:ascii="宋体" w:hAnsi="宋体" w:cs="宋体"/>
                <w:color w:val="000000"/>
                <w:lang w:bidi="ar"/>
              </w:rPr>
              <w:t>）</w:t>
            </w:r>
          </w:p>
        </w:tc>
      </w:tr>
      <w:tr w14:paraId="1828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533" w:type="pct"/>
            <w:gridSpan w:val="2"/>
            <w:vMerge w:val="continue"/>
            <w:tcBorders>
              <w:top w:val="single" w:color="auto" w:sz="4" w:space="0"/>
              <w:left w:val="single" w:color="auto" w:sz="4" w:space="0"/>
              <w:bottom w:val="single" w:color="auto" w:sz="4" w:space="0"/>
              <w:right w:val="single" w:color="auto" w:sz="4" w:space="0"/>
            </w:tcBorders>
            <w:shd w:val="clear" w:color="auto" w:fill="auto"/>
          </w:tcPr>
          <w:p w14:paraId="4309ADAC">
            <w:pPr>
              <w:spacing w:line="240" w:lineRule="auto"/>
              <w:rPr>
                <w:rFonts w:ascii="宋体" w:hAnsi="宋体" w:cs="宋体"/>
                <w:color w:val="000000"/>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tcPr>
          <w:p w14:paraId="3E70B61B">
            <w:pPr>
              <w:spacing w:line="240" w:lineRule="auto"/>
              <w:rPr>
                <w:rFonts w:ascii="宋体" w:hAnsi="宋体" w:cs="宋体"/>
                <w:color w:val="000000"/>
              </w:rPr>
            </w:pPr>
          </w:p>
        </w:tc>
        <w:tc>
          <w:tcPr>
            <w:tcW w:w="650" w:type="pct"/>
            <w:vMerge w:val="continue"/>
            <w:tcBorders>
              <w:top w:val="single" w:color="auto" w:sz="4" w:space="0"/>
              <w:left w:val="single" w:color="auto" w:sz="4" w:space="0"/>
              <w:bottom w:val="single" w:color="auto" w:sz="4" w:space="0"/>
              <w:right w:val="single" w:color="auto" w:sz="4" w:space="0"/>
            </w:tcBorders>
            <w:shd w:val="clear" w:color="auto" w:fill="auto"/>
          </w:tcPr>
          <w:p w14:paraId="35934AD0">
            <w:pPr>
              <w:spacing w:line="240" w:lineRule="auto"/>
              <w:rPr>
                <w:rFonts w:ascii="宋体" w:hAnsi="宋体" w:cs="宋体"/>
                <w:color w:val="000000"/>
              </w:rPr>
            </w:pPr>
          </w:p>
        </w:tc>
        <w:tc>
          <w:tcPr>
            <w:tcW w:w="454" w:type="pct"/>
            <w:vMerge w:val="continue"/>
            <w:tcBorders>
              <w:top w:val="single" w:color="auto" w:sz="4" w:space="0"/>
              <w:left w:val="single" w:color="auto" w:sz="4" w:space="0"/>
              <w:bottom w:val="single" w:color="auto" w:sz="4" w:space="0"/>
              <w:right w:val="single" w:color="auto" w:sz="4" w:space="0"/>
            </w:tcBorders>
            <w:shd w:val="clear" w:color="auto" w:fill="auto"/>
          </w:tcPr>
          <w:p w14:paraId="43C21CBD">
            <w:pPr>
              <w:spacing w:line="240" w:lineRule="auto"/>
              <w:rPr>
                <w:rFonts w:ascii="宋体" w:hAnsi="宋体" w:cs="宋体"/>
                <w:color w:val="000000"/>
              </w:rPr>
            </w:pPr>
          </w:p>
        </w:tc>
        <w:tc>
          <w:tcPr>
            <w:tcW w:w="642" w:type="pct"/>
            <w:vMerge w:val="continue"/>
            <w:tcBorders>
              <w:top w:val="single" w:color="auto" w:sz="4" w:space="0"/>
              <w:left w:val="single" w:color="auto" w:sz="4" w:space="0"/>
              <w:bottom w:val="single" w:color="auto" w:sz="4" w:space="0"/>
              <w:right w:val="single" w:color="auto" w:sz="4" w:space="0"/>
            </w:tcBorders>
            <w:shd w:val="clear" w:color="auto" w:fill="auto"/>
          </w:tcPr>
          <w:p w14:paraId="05D9A9CD">
            <w:pPr>
              <w:spacing w:line="240" w:lineRule="auto"/>
              <w:rPr>
                <w:rFonts w:ascii="宋体" w:hAnsi="宋体" w:cs="宋体"/>
                <w:color w:val="000000"/>
              </w:rPr>
            </w:pP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2412A6B6">
            <w:pPr>
              <w:spacing w:line="240" w:lineRule="auto"/>
              <w:rPr>
                <w:rFonts w:ascii="宋体" w:hAnsi="宋体" w:cs="宋体"/>
                <w:color w:val="000000"/>
              </w:rPr>
            </w:pPr>
            <w:r>
              <w:rPr>
                <w:rFonts w:hint="eastAsia" w:ascii="宋体" w:hAnsi="宋体" w:cs="宋体"/>
                <w:color w:val="000000"/>
                <w:lang w:bidi="ar"/>
              </w:rPr>
              <w:t>现行值</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12780D3F">
            <w:pPr>
              <w:spacing w:line="240" w:lineRule="auto"/>
              <w:rPr>
                <w:rFonts w:ascii="宋体" w:hAnsi="宋体" w:cs="宋体"/>
                <w:color w:val="000000"/>
              </w:rPr>
            </w:pPr>
            <w:r>
              <w:rPr>
                <w:rFonts w:hint="eastAsia" w:ascii="宋体" w:hAnsi="宋体" w:cs="宋体"/>
                <w:color w:val="000000"/>
                <w:lang w:bidi="ar"/>
              </w:rPr>
              <w:t>目标值</w:t>
            </w:r>
          </w:p>
        </w:tc>
      </w:tr>
      <w:tr w14:paraId="4D91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tcBorders>
              <w:top w:val="nil"/>
              <w:left w:val="single" w:color="auto" w:sz="4" w:space="0"/>
              <w:bottom w:val="single" w:color="auto" w:sz="4" w:space="0"/>
              <w:right w:val="single" w:color="auto" w:sz="4" w:space="0"/>
            </w:tcBorders>
            <w:shd w:val="clear" w:color="auto" w:fill="auto"/>
          </w:tcPr>
          <w:p w14:paraId="4A99DA53">
            <w:pPr>
              <w:spacing w:line="240" w:lineRule="auto"/>
              <w:rPr>
                <w:rFonts w:ascii="宋体" w:hAnsi="宋体" w:cs="宋体"/>
                <w:color w:val="000000"/>
              </w:rPr>
            </w:pPr>
            <w:r>
              <w:rPr>
                <w:rFonts w:hint="eastAsia" w:ascii="宋体" w:hAnsi="宋体" w:cs="宋体"/>
                <w:color w:val="000000"/>
                <w:lang w:bidi="ar"/>
              </w:rPr>
              <w:t>机动车停车区域</w:t>
            </w:r>
          </w:p>
        </w:tc>
        <w:tc>
          <w:tcPr>
            <w:tcW w:w="976" w:type="pct"/>
            <w:tcBorders>
              <w:top w:val="single" w:color="auto" w:sz="4" w:space="0"/>
              <w:left w:val="single" w:color="auto" w:sz="4" w:space="0"/>
              <w:bottom w:val="single" w:color="auto" w:sz="4" w:space="0"/>
              <w:right w:val="single" w:color="auto" w:sz="4" w:space="0"/>
            </w:tcBorders>
            <w:shd w:val="clear" w:color="auto" w:fill="auto"/>
          </w:tcPr>
          <w:p w14:paraId="3DD8D3CE">
            <w:pPr>
              <w:spacing w:line="240" w:lineRule="auto"/>
              <w:rPr>
                <w:rFonts w:ascii="宋体" w:hAnsi="宋体" w:cs="宋体"/>
                <w:color w:val="000000"/>
              </w:rPr>
            </w:pPr>
            <w:r>
              <w:rPr>
                <w:rFonts w:hint="eastAsia" w:ascii="宋体" w:hAnsi="宋体" w:cs="宋体"/>
                <w:color w:val="000000"/>
                <w:lang w:bidi="ar"/>
              </w:rPr>
              <w:t>行车道（含坡道）</w:t>
            </w:r>
          </w:p>
        </w:tc>
        <w:tc>
          <w:tcPr>
            <w:tcW w:w="636" w:type="pct"/>
            <w:vMerge w:val="restart"/>
            <w:tcBorders>
              <w:top w:val="nil"/>
              <w:left w:val="single" w:color="auto" w:sz="4" w:space="0"/>
              <w:bottom w:val="single" w:color="auto" w:sz="4" w:space="0"/>
              <w:right w:val="single" w:color="auto" w:sz="4" w:space="0"/>
            </w:tcBorders>
            <w:shd w:val="clear" w:color="auto" w:fill="auto"/>
          </w:tcPr>
          <w:p w14:paraId="098F05B2">
            <w:pPr>
              <w:spacing w:line="240" w:lineRule="auto"/>
              <w:jc w:val="center"/>
              <w:rPr>
                <w:rFonts w:ascii="宋体" w:hAnsi="宋体" w:cs="宋体"/>
                <w:color w:val="000000"/>
              </w:rPr>
            </w:pPr>
            <w:r>
              <w:rPr>
                <w:rFonts w:hint="eastAsia" w:ascii="宋体" w:hAnsi="宋体" w:cs="宋体"/>
                <w:color w:val="000000"/>
                <w:lang w:bidi="ar"/>
              </w:rPr>
              <w:t>地面</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0B09FCEC">
            <w:pPr>
              <w:spacing w:line="240" w:lineRule="auto"/>
              <w:jc w:val="center"/>
              <w:rPr>
                <w:rFonts w:ascii="宋体" w:hAnsi="宋体" w:cs="宋体"/>
                <w:color w:val="000000"/>
              </w:rPr>
            </w:pPr>
            <w:r>
              <w:rPr>
                <w:rFonts w:hint="eastAsia" w:ascii="宋体" w:hAnsi="宋体" w:cs="宋体"/>
                <w:color w:val="000000"/>
                <w:lang w:bidi="ar"/>
              </w:rPr>
              <w:t>50</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794FCEBF">
            <w:pPr>
              <w:spacing w:line="240" w:lineRule="auto"/>
              <w:jc w:val="center"/>
              <w:rPr>
                <w:rFonts w:ascii="宋体" w:hAnsi="宋体" w:cs="宋体"/>
                <w:color w:val="000000"/>
              </w:rPr>
            </w:pPr>
            <w:r>
              <w:rPr>
                <w:rFonts w:hint="eastAsia" w:ascii="宋体" w:hAnsi="宋体" w:cs="宋体"/>
                <w:color w:val="000000"/>
                <w:lang w:bidi="ar"/>
              </w:rPr>
              <w:t>28</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3590D0BE">
            <w:pPr>
              <w:spacing w:line="240" w:lineRule="auto"/>
              <w:jc w:val="center"/>
              <w:rPr>
                <w:rFonts w:ascii="宋体" w:hAnsi="宋体" w:cs="宋体"/>
                <w:color w:val="000000"/>
              </w:rPr>
            </w:pPr>
            <w:r>
              <w:rPr>
                <w:rFonts w:hint="eastAsia" w:ascii="宋体" w:hAnsi="宋体" w:cs="宋体"/>
                <w:color w:val="000000"/>
                <w:lang w:bidi="ar"/>
              </w:rPr>
              <w:t>60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573A82D7">
            <w:pPr>
              <w:spacing w:line="240" w:lineRule="auto"/>
              <w:jc w:val="center"/>
              <w:rPr>
                <w:rFonts w:ascii="宋体" w:hAnsi="宋体" w:cs="宋体"/>
                <w:color w:val="000000"/>
              </w:rPr>
            </w:pPr>
            <w:r>
              <w:rPr>
                <w:rFonts w:hint="eastAsia" w:ascii="宋体" w:hAnsi="宋体" w:cs="宋体"/>
                <w:color w:val="000000"/>
                <w:lang w:bidi="ar"/>
              </w:rPr>
              <w:t>2.5</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756AD241">
            <w:pPr>
              <w:spacing w:line="240" w:lineRule="auto"/>
              <w:jc w:val="center"/>
              <w:rPr>
                <w:rFonts w:ascii="宋体" w:hAnsi="宋体" w:cs="宋体"/>
                <w:color w:val="000000"/>
              </w:rPr>
            </w:pPr>
            <w:r>
              <w:rPr>
                <w:rFonts w:hint="eastAsia" w:ascii="宋体" w:hAnsi="宋体" w:cs="宋体"/>
                <w:color w:val="000000"/>
                <w:lang w:bidi="ar"/>
              </w:rPr>
              <w:t>2</w:t>
            </w:r>
          </w:p>
        </w:tc>
      </w:tr>
      <w:tr w14:paraId="365B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tcBorders>
              <w:top w:val="nil"/>
              <w:left w:val="single" w:color="auto" w:sz="4" w:space="0"/>
              <w:bottom w:val="single" w:color="auto" w:sz="4" w:space="0"/>
              <w:right w:val="single" w:color="auto" w:sz="4" w:space="0"/>
            </w:tcBorders>
            <w:shd w:val="clear" w:color="auto" w:fill="auto"/>
          </w:tcPr>
          <w:p w14:paraId="6B9D252D">
            <w:pPr>
              <w:spacing w:line="240" w:lineRule="auto"/>
              <w:rPr>
                <w:rFonts w:ascii="宋体" w:hAnsi="宋体" w:cs="宋体"/>
                <w:color w:val="000000"/>
              </w:rPr>
            </w:pPr>
          </w:p>
        </w:tc>
        <w:tc>
          <w:tcPr>
            <w:tcW w:w="976" w:type="pct"/>
            <w:tcBorders>
              <w:top w:val="single" w:color="auto" w:sz="4" w:space="0"/>
              <w:left w:val="single" w:color="auto" w:sz="4" w:space="0"/>
              <w:bottom w:val="single" w:color="auto" w:sz="4" w:space="0"/>
              <w:right w:val="single" w:color="auto" w:sz="4" w:space="0"/>
            </w:tcBorders>
            <w:shd w:val="clear" w:color="auto" w:fill="auto"/>
          </w:tcPr>
          <w:p w14:paraId="2992C81E">
            <w:pPr>
              <w:spacing w:line="240" w:lineRule="auto"/>
              <w:rPr>
                <w:rFonts w:ascii="宋体" w:hAnsi="宋体" w:cs="宋体"/>
                <w:color w:val="000000"/>
              </w:rPr>
            </w:pPr>
            <w:r>
              <w:rPr>
                <w:rFonts w:hint="eastAsia" w:ascii="宋体" w:hAnsi="宋体" w:cs="宋体"/>
                <w:color w:val="000000"/>
                <w:lang w:bidi="ar"/>
              </w:rPr>
              <w:t>停车位</w:t>
            </w:r>
          </w:p>
        </w:tc>
        <w:tc>
          <w:tcPr>
            <w:tcW w:w="636" w:type="pct"/>
            <w:vMerge w:val="continue"/>
            <w:tcBorders>
              <w:top w:val="nil"/>
              <w:left w:val="single" w:color="auto" w:sz="4" w:space="0"/>
              <w:bottom w:val="single" w:color="auto" w:sz="4" w:space="0"/>
              <w:right w:val="single" w:color="auto" w:sz="4" w:space="0"/>
            </w:tcBorders>
            <w:shd w:val="clear" w:color="auto" w:fill="auto"/>
          </w:tcPr>
          <w:p w14:paraId="01529991">
            <w:pPr>
              <w:spacing w:line="240" w:lineRule="auto"/>
              <w:rPr>
                <w:rFonts w:ascii="宋体" w:hAnsi="宋体" w:cs="宋体"/>
                <w:color w:val="000000"/>
              </w:rPr>
            </w:pP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00CE7DCE">
            <w:pPr>
              <w:spacing w:line="240" w:lineRule="auto"/>
              <w:jc w:val="center"/>
              <w:rPr>
                <w:rFonts w:ascii="宋体" w:hAnsi="宋体" w:cs="宋体"/>
                <w:color w:val="000000"/>
              </w:rPr>
            </w:pPr>
            <w:r>
              <w:rPr>
                <w:rFonts w:hint="eastAsia" w:ascii="宋体" w:hAnsi="宋体" w:cs="宋体"/>
                <w:color w:val="000000"/>
                <w:lang w:bidi="ar"/>
              </w:rPr>
              <w:t>30</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5573D0BC">
            <w:pPr>
              <w:spacing w:line="240" w:lineRule="auto"/>
              <w:jc w:val="center"/>
              <w:rPr>
                <w:rFonts w:ascii="宋体" w:hAnsi="宋体" w:cs="宋体"/>
                <w:color w:val="000000"/>
              </w:rPr>
            </w:pPr>
            <w:r>
              <w:rPr>
                <w:rFonts w:hint="eastAsia" w:ascii="宋体" w:hAnsi="宋体" w:cs="宋体"/>
                <w:color w:val="000000"/>
                <w:lang w:bidi="ar"/>
              </w:rPr>
              <w:t>28</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2F214251">
            <w:pPr>
              <w:spacing w:line="240" w:lineRule="auto"/>
              <w:jc w:val="center"/>
              <w:rPr>
                <w:rFonts w:ascii="宋体" w:hAnsi="宋体" w:cs="宋体"/>
                <w:color w:val="000000"/>
              </w:rPr>
            </w:pPr>
            <w:r>
              <w:rPr>
                <w:rFonts w:hint="eastAsia" w:ascii="宋体" w:hAnsi="宋体" w:cs="宋体"/>
                <w:color w:val="000000"/>
                <w:lang w:bidi="ar"/>
              </w:rPr>
              <w:t>60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19196C65">
            <w:pPr>
              <w:spacing w:line="240" w:lineRule="auto"/>
              <w:jc w:val="center"/>
              <w:rPr>
                <w:rFonts w:ascii="宋体" w:hAnsi="宋体" w:cs="宋体"/>
                <w:color w:val="000000"/>
              </w:rPr>
            </w:pPr>
            <w:r>
              <w:rPr>
                <w:rFonts w:hint="eastAsia" w:ascii="宋体" w:hAnsi="宋体" w:cs="宋体"/>
                <w:color w:val="000000"/>
                <w:lang w:bidi="ar"/>
              </w:rPr>
              <w:t>2</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6B95CE1B">
            <w:pPr>
              <w:spacing w:line="240" w:lineRule="auto"/>
              <w:jc w:val="center"/>
              <w:rPr>
                <w:rFonts w:ascii="宋体" w:hAnsi="宋体" w:cs="宋体"/>
                <w:color w:val="000000"/>
              </w:rPr>
            </w:pPr>
            <w:r>
              <w:rPr>
                <w:rFonts w:hint="eastAsia" w:ascii="宋体" w:hAnsi="宋体" w:cs="宋体"/>
                <w:color w:val="000000"/>
                <w:lang w:bidi="ar"/>
              </w:rPr>
              <w:t>1.8</w:t>
            </w:r>
          </w:p>
        </w:tc>
      </w:tr>
      <w:tr w14:paraId="2B76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restart"/>
            <w:tcBorders>
              <w:top w:val="nil"/>
              <w:left w:val="single" w:color="auto" w:sz="4" w:space="0"/>
              <w:bottom w:val="single" w:color="auto" w:sz="4" w:space="0"/>
              <w:right w:val="single" w:color="auto" w:sz="4" w:space="0"/>
            </w:tcBorders>
            <w:shd w:val="clear" w:color="auto" w:fill="auto"/>
          </w:tcPr>
          <w:p w14:paraId="5A955400">
            <w:pPr>
              <w:spacing w:line="240" w:lineRule="auto"/>
              <w:rPr>
                <w:rFonts w:ascii="宋体" w:hAnsi="宋体" w:cs="宋体"/>
                <w:color w:val="000000"/>
              </w:rPr>
            </w:pPr>
            <w:r>
              <w:rPr>
                <w:rFonts w:hint="eastAsia" w:ascii="宋体" w:hAnsi="宋体" w:cs="宋体"/>
                <w:color w:val="000000"/>
                <w:lang w:bidi="ar"/>
              </w:rPr>
              <w:t>非机动车</w:t>
            </w:r>
          </w:p>
          <w:p w14:paraId="3DF82857">
            <w:pPr>
              <w:spacing w:line="240" w:lineRule="auto"/>
              <w:rPr>
                <w:rFonts w:ascii="宋体" w:hAnsi="宋体" w:cs="宋体"/>
                <w:color w:val="000000"/>
              </w:rPr>
            </w:pPr>
            <w:r>
              <w:rPr>
                <w:rFonts w:hint="eastAsia" w:ascii="宋体" w:hAnsi="宋体" w:cs="宋体"/>
                <w:color w:val="000000"/>
                <w:lang w:bidi="ar"/>
              </w:rPr>
              <w:t>停车区域</w:t>
            </w:r>
          </w:p>
        </w:tc>
        <w:tc>
          <w:tcPr>
            <w:tcW w:w="976" w:type="pct"/>
            <w:tcBorders>
              <w:top w:val="single" w:color="auto" w:sz="4" w:space="0"/>
              <w:left w:val="single" w:color="auto" w:sz="4" w:space="0"/>
              <w:bottom w:val="single" w:color="auto" w:sz="4" w:space="0"/>
              <w:right w:val="single" w:color="auto" w:sz="4" w:space="0"/>
            </w:tcBorders>
            <w:shd w:val="clear" w:color="auto" w:fill="auto"/>
          </w:tcPr>
          <w:p w14:paraId="7C803C07">
            <w:pPr>
              <w:spacing w:line="240" w:lineRule="auto"/>
              <w:rPr>
                <w:rFonts w:ascii="宋体" w:hAnsi="宋体" w:cs="宋体"/>
                <w:color w:val="000000"/>
              </w:rPr>
            </w:pPr>
            <w:r>
              <w:rPr>
                <w:rFonts w:hint="eastAsia" w:ascii="宋体" w:hAnsi="宋体" w:cs="宋体"/>
                <w:color w:val="000000"/>
                <w:lang w:bidi="ar"/>
              </w:rPr>
              <w:t>行车道（含坡道）</w:t>
            </w:r>
          </w:p>
        </w:tc>
        <w:tc>
          <w:tcPr>
            <w:tcW w:w="636" w:type="pct"/>
            <w:vMerge w:val="restart"/>
            <w:tcBorders>
              <w:top w:val="nil"/>
              <w:left w:val="single" w:color="auto" w:sz="4" w:space="0"/>
              <w:bottom w:val="single" w:color="auto" w:sz="4" w:space="0"/>
              <w:right w:val="single" w:color="auto" w:sz="4" w:space="0"/>
            </w:tcBorders>
            <w:shd w:val="clear" w:color="auto" w:fill="auto"/>
          </w:tcPr>
          <w:p w14:paraId="4694F094">
            <w:pPr>
              <w:spacing w:line="240" w:lineRule="auto"/>
              <w:jc w:val="center"/>
              <w:rPr>
                <w:rFonts w:ascii="宋体" w:hAnsi="宋体" w:cs="宋体"/>
                <w:color w:val="000000"/>
              </w:rPr>
            </w:pPr>
            <w:r>
              <w:rPr>
                <w:rFonts w:hint="eastAsia" w:ascii="宋体" w:hAnsi="宋体" w:cs="宋体"/>
                <w:color w:val="000000"/>
                <w:lang w:bidi="ar"/>
              </w:rPr>
              <w:t>地面</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5F9B2554">
            <w:pPr>
              <w:spacing w:line="240" w:lineRule="auto"/>
              <w:jc w:val="center"/>
              <w:rPr>
                <w:rFonts w:ascii="宋体" w:hAnsi="宋体" w:cs="宋体"/>
                <w:color w:val="000000"/>
              </w:rPr>
            </w:pPr>
            <w:r>
              <w:rPr>
                <w:rFonts w:hint="eastAsia" w:ascii="宋体" w:hAnsi="宋体" w:cs="宋体"/>
                <w:color w:val="000000"/>
                <w:lang w:bidi="ar"/>
              </w:rPr>
              <w:t>75</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09A53D3C">
            <w:pPr>
              <w:spacing w:line="240" w:lineRule="auto"/>
              <w:jc w:val="center"/>
              <w:rPr>
                <w:rFonts w:ascii="宋体" w:hAnsi="宋体" w:cs="宋体"/>
                <w:color w:val="000000"/>
              </w:rPr>
            </w:pPr>
            <w:r>
              <w:rPr>
                <w:rFonts w:hint="eastAsia" w:ascii="宋体" w:hAnsi="宋体" w:cs="宋体"/>
                <w:color w:val="000000"/>
                <w:lang w:bidi="ar"/>
              </w:rPr>
              <w:t>--</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13AAD6E1">
            <w:pPr>
              <w:spacing w:line="240" w:lineRule="auto"/>
              <w:jc w:val="center"/>
              <w:rPr>
                <w:rFonts w:ascii="宋体" w:hAnsi="宋体" w:cs="宋体"/>
                <w:color w:val="000000"/>
              </w:rPr>
            </w:pPr>
            <w:r>
              <w:rPr>
                <w:rFonts w:hint="eastAsia" w:ascii="宋体" w:hAnsi="宋体" w:cs="宋体"/>
                <w:color w:val="000000"/>
                <w:lang w:bidi="ar"/>
              </w:rPr>
              <w:t>60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3E651FB8">
            <w:pPr>
              <w:spacing w:line="240" w:lineRule="auto"/>
              <w:jc w:val="center"/>
              <w:rPr>
                <w:rFonts w:ascii="宋体" w:hAnsi="宋体" w:cs="宋体"/>
                <w:color w:val="000000"/>
              </w:rPr>
            </w:pPr>
            <w:r>
              <w:rPr>
                <w:rFonts w:hint="eastAsia" w:ascii="宋体" w:hAnsi="宋体" w:cs="宋体"/>
                <w:color w:val="000000"/>
                <w:lang w:bidi="ar"/>
              </w:rPr>
              <w:t>3.5</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22EB349B">
            <w:pPr>
              <w:spacing w:line="240" w:lineRule="auto"/>
              <w:jc w:val="center"/>
              <w:rPr>
                <w:rFonts w:ascii="宋体" w:hAnsi="宋体" w:cs="宋体"/>
                <w:color w:val="000000"/>
              </w:rPr>
            </w:pPr>
            <w:r>
              <w:rPr>
                <w:rFonts w:hint="eastAsia" w:ascii="宋体" w:hAnsi="宋体" w:cs="宋体"/>
                <w:color w:val="000000"/>
                <w:lang w:bidi="ar"/>
              </w:rPr>
              <w:t>3</w:t>
            </w:r>
          </w:p>
        </w:tc>
      </w:tr>
      <w:tr w14:paraId="43AC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 w:type="pct"/>
            <w:vMerge w:val="continue"/>
            <w:tcBorders>
              <w:top w:val="nil"/>
              <w:left w:val="single" w:color="auto" w:sz="4" w:space="0"/>
              <w:bottom w:val="single" w:color="auto" w:sz="4" w:space="0"/>
              <w:right w:val="single" w:color="auto" w:sz="4" w:space="0"/>
            </w:tcBorders>
            <w:shd w:val="clear" w:color="auto" w:fill="auto"/>
          </w:tcPr>
          <w:p w14:paraId="7E329CDD">
            <w:pPr>
              <w:spacing w:line="240" w:lineRule="auto"/>
              <w:rPr>
                <w:rFonts w:ascii="宋体" w:hAnsi="宋体" w:cs="宋体"/>
                <w:color w:val="000000"/>
              </w:rPr>
            </w:pPr>
          </w:p>
        </w:tc>
        <w:tc>
          <w:tcPr>
            <w:tcW w:w="976" w:type="pct"/>
            <w:tcBorders>
              <w:top w:val="single" w:color="auto" w:sz="4" w:space="0"/>
              <w:left w:val="single" w:color="auto" w:sz="4" w:space="0"/>
              <w:bottom w:val="single" w:color="auto" w:sz="4" w:space="0"/>
              <w:right w:val="single" w:color="auto" w:sz="4" w:space="0"/>
            </w:tcBorders>
            <w:shd w:val="clear" w:color="auto" w:fill="auto"/>
          </w:tcPr>
          <w:p w14:paraId="01760E31">
            <w:pPr>
              <w:spacing w:line="240" w:lineRule="auto"/>
              <w:rPr>
                <w:rFonts w:ascii="宋体" w:hAnsi="宋体" w:cs="宋体"/>
                <w:color w:val="000000"/>
              </w:rPr>
            </w:pPr>
            <w:r>
              <w:rPr>
                <w:rFonts w:hint="eastAsia" w:ascii="宋体" w:hAnsi="宋体" w:cs="宋体"/>
                <w:color w:val="000000"/>
                <w:lang w:bidi="ar"/>
              </w:rPr>
              <w:t>停车位</w:t>
            </w:r>
          </w:p>
        </w:tc>
        <w:tc>
          <w:tcPr>
            <w:tcW w:w="636" w:type="pct"/>
            <w:vMerge w:val="continue"/>
            <w:tcBorders>
              <w:top w:val="nil"/>
              <w:left w:val="single" w:color="auto" w:sz="4" w:space="0"/>
              <w:bottom w:val="single" w:color="auto" w:sz="4" w:space="0"/>
              <w:right w:val="single" w:color="auto" w:sz="4" w:space="0"/>
            </w:tcBorders>
            <w:shd w:val="clear" w:color="auto" w:fill="auto"/>
          </w:tcPr>
          <w:p w14:paraId="7BB4D60C">
            <w:pPr>
              <w:spacing w:line="240" w:lineRule="auto"/>
              <w:rPr>
                <w:rFonts w:ascii="宋体" w:hAnsi="宋体" w:cs="宋体"/>
                <w:color w:val="000000"/>
              </w:rPr>
            </w:pP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DC271B7">
            <w:pPr>
              <w:spacing w:line="240" w:lineRule="auto"/>
              <w:jc w:val="center"/>
              <w:rPr>
                <w:rFonts w:ascii="宋体" w:hAnsi="宋体" w:cs="宋体"/>
                <w:color w:val="000000"/>
              </w:rPr>
            </w:pPr>
            <w:r>
              <w:rPr>
                <w:rFonts w:hint="eastAsia" w:ascii="宋体" w:hAnsi="宋体" w:cs="宋体"/>
                <w:color w:val="000000"/>
                <w:lang w:bidi="ar"/>
              </w:rPr>
              <w:t>50</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53BF9F3F">
            <w:pPr>
              <w:spacing w:line="240" w:lineRule="auto"/>
              <w:jc w:val="center"/>
              <w:rPr>
                <w:rFonts w:ascii="宋体" w:hAnsi="宋体" w:cs="宋体"/>
                <w:color w:val="000000"/>
              </w:rPr>
            </w:pPr>
            <w:r>
              <w:rPr>
                <w:rFonts w:hint="eastAsia" w:ascii="宋体" w:hAnsi="宋体" w:cs="宋体"/>
                <w:color w:val="000000"/>
                <w:lang w:bidi="ar"/>
              </w:rPr>
              <w:t>--</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5022AAA2">
            <w:pPr>
              <w:spacing w:line="240" w:lineRule="auto"/>
              <w:jc w:val="center"/>
              <w:rPr>
                <w:rFonts w:ascii="宋体" w:hAnsi="宋体" w:cs="宋体"/>
                <w:color w:val="000000"/>
              </w:rPr>
            </w:pPr>
            <w:r>
              <w:rPr>
                <w:rFonts w:hint="eastAsia" w:ascii="宋体" w:hAnsi="宋体" w:cs="宋体"/>
                <w:color w:val="000000"/>
                <w:lang w:bidi="ar"/>
              </w:rPr>
              <w:t>60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34B7A55B">
            <w:pPr>
              <w:spacing w:line="240" w:lineRule="auto"/>
              <w:jc w:val="center"/>
              <w:rPr>
                <w:rFonts w:ascii="宋体" w:hAnsi="宋体" w:cs="宋体"/>
                <w:color w:val="000000"/>
              </w:rPr>
            </w:pPr>
            <w:r>
              <w:rPr>
                <w:rFonts w:hint="eastAsia" w:ascii="宋体" w:hAnsi="宋体" w:cs="宋体"/>
                <w:color w:val="000000"/>
                <w:lang w:bidi="ar"/>
              </w:rPr>
              <w:t>2.5</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170232DB">
            <w:pPr>
              <w:spacing w:line="240" w:lineRule="auto"/>
              <w:jc w:val="center"/>
              <w:rPr>
                <w:rFonts w:ascii="宋体" w:hAnsi="宋体" w:cs="宋体"/>
                <w:color w:val="000000"/>
              </w:rPr>
            </w:pPr>
            <w:r>
              <w:rPr>
                <w:rFonts w:hint="eastAsia" w:ascii="宋体" w:hAnsi="宋体" w:cs="宋体"/>
                <w:color w:val="000000"/>
                <w:lang w:bidi="ar"/>
              </w:rPr>
              <w:t>2</w:t>
            </w:r>
          </w:p>
        </w:tc>
      </w:tr>
      <w:tr w14:paraId="287C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pct"/>
            <w:gridSpan w:val="2"/>
            <w:tcBorders>
              <w:top w:val="single" w:color="auto" w:sz="4" w:space="0"/>
              <w:left w:val="single" w:color="auto" w:sz="4" w:space="0"/>
              <w:bottom w:val="single" w:color="auto" w:sz="4" w:space="0"/>
              <w:right w:val="single" w:color="auto" w:sz="4" w:space="0"/>
            </w:tcBorders>
            <w:shd w:val="clear" w:color="auto" w:fill="auto"/>
          </w:tcPr>
          <w:p w14:paraId="2A9A4734">
            <w:pPr>
              <w:spacing w:line="240" w:lineRule="auto"/>
              <w:rPr>
                <w:rFonts w:ascii="宋体" w:hAnsi="宋体" w:cs="宋体"/>
                <w:color w:val="000000"/>
              </w:rPr>
            </w:pPr>
            <w:r>
              <w:rPr>
                <w:rFonts w:hint="eastAsia" w:ascii="宋体" w:hAnsi="宋体" w:cs="宋体"/>
                <w:color w:val="000000"/>
                <w:lang w:bidi="ar"/>
              </w:rPr>
              <w:t>保修间、洗车间</w:t>
            </w:r>
          </w:p>
        </w:tc>
        <w:tc>
          <w:tcPr>
            <w:tcW w:w="636" w:type="pct"/>
            <w:tcBorders>
              <w:top w:val="single" w:color="auto" w:sz="4" w:space="0"/>
              <w:left w:val="single" w:color="auto" w:sz="4" w:space="0"/>
              <w:bottom w:val="single" w:color="auto" w:sz="4" w:space="0"/>
              <w:right w:val="single" w:color="auto" w:sz="4" w:space="0"/>
            </w:tcBorders>
            <w:shd w:val="clear" w:color="auto" w:fill="auto"/>
          </w:tcPr>
          <w:p w14:paraId="2EF6B084">
            <w:pPr>
              <w:spacing w:line="240" w:lineRule="auto"/>
              <w:jc w:val="center"/>
              <w:rPr>
                <w:rFonts w:ascii="宋体" w:hAnsi="宋体" w:cs="宋体"/>
                <w:color w:val="000000"/>
              </w:rPr>
            </w:pPr>
            <w:r>
              <w:rPr>
                <w:rFonts w:hint="eastAsia" w:ascii="宋体" w:hAnsi="宋体" w:cs="宋体"/>
                <w:color w:val="000000"/>
                <w:lang w:bidi="ar"/>
              </w:rPr>
              <w:t>地面</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0343F7F">
            <w:pPr>
              <w:spacing w:line="240" w:lineRule="auto"/>
              <w:jc w:val="center"/>
              <w:rPr>
                <w:rFonts w:ascii="宋体" w:hAnsi="宋体" w:cs="宋体"/>
                <w:color w:val="000000"/>
              </w:rPr>
            </w:pPr>
            <w:r>
              <w:rPr>
                <w:rFonts w:hint="eastAsia" w:ascii="宋体" w:hAnsi="宋体" w:cs="宋体"/>
                <w:color w:val="000000"/>
                <w:lang w:bidi="ar"/>
              </w:rPr>
              <w:t>200</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564B2B6B">
            <w:pPr>
              <w:spacing w:line="240" w:lineRule="auto"/>
              <w:jc w:val="center"/>
              <w:rPr>
                <w:rFonts w:ascii="宋体" w:hAnsi="宋体" w:cs="宋体"/>
                <w:color w:val="000000"/>
              </w:rPr>
            </w:pPr>
            <w:r>
              <w:rPr>
                <w:rFonts w:hint="eastAsia" w:ascii="宋体" w:hAnsi="宋体" w:cs="宋体"/>
                <w:color w:val="000000"/>
                <w:lang w:bidi="ar"/>
              </w:rPr>
              <w:t>--</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641ED14B">
            <w:pPr>
              <w:spacing w:line="240" w:lineRule="auto"/>
              <w:jc w:val="center"/>
              <w:rPr>
                <w:rFonts w:ascii="宋体" w:hAnsi="宋体" w:cs="宋体"/>
                <w:color w:val="000000"/>
              </w:rPr>
            </w:pPr>
            <w:r>
              <w:rPr>
                <w:rFonts w:hint="eastAsia" w:ascii="宋体" w:hAnsi="宋体" w:cs="宋体"/>
                <w:color w:val="000000"/>
                <w:lang w:bidi="ar"/>
              </w:rPr>
              <w:t>80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3FD1321B">
            <w:pPr>
              <w:spacing w:line="240" w:lineRule="auto"/>
              <w:jc w:val="center"/>
              <w:rPr>
                <w:rFonts w:ascii="宋体" w:hAnsi="宋体" w:cs="宋体"/>
                <w:color w:val="000000"/>
              </w:rPr>
            </w:pPr>
            <w:r>
              <w:rPr>
                <w:rFonts w:hint="eastAsia" w:ascii="宋体" w:hAnsi="宋体" w:cs="宋体"/>
                <w:color w:val="000000"/>
                <w:lang w:bidi="ar"/>
              </w:rPr>
              <w:t>7.5</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29F305E4">
            <w:pPr>
              <w:spacing w:line="240" w:lineRule="auto"/>
              <w:jc w:val="center"/>
              <w:rPr>
                <w:rFonts w:ascii="宋体" w:hAnsi="宋体" w:cs="宋体"/>
                <w:color w:val="000000"/>
              </w:rPr>
            </w:pPr>
            <w:r>
              <w:rPr>
                <w:rFonts w:hint="eastAsia" w:ascii="宋体" w:hAnsi="宋体" w:cs="宋体"/>
                <w:color w:val="000000"/>
                <w:lang w:bidi="ar"/>
              </w:rPr>
              <w:t>6.5</w:t>
            </w:r>
          </w:p>
        </w:tc>
      </w:tr>
      <w:tr w14:paraId="5738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pct"/>
            <w:gridSpan w:val="2"/>
            <w:tcBorders>
              <w:top w:val="single" w:color="auto" w:sz="4" w:space="0"/>
              <w:left w:val="single" w:color="auto" w:sz="4" w:space="0"/>
              <w:bottom w:val="single" w:color="auto" w:sz="4" w:space="0"/>
              <w:right w:val="single" w:color="auto" w:sz="4" w:space="0"/>
            </w:tcBorders>
            <w:shd w:val="clear" w:color="auto" w:fill="auto"/>
          </w:tcPr>
          <w:p w14:paraId="32C7BCA8">
            <w:pPr>
              <w:spacing w:line="240" w:lineRule="auto"/>
              <w:rPr>
                <w:rFonts w:ascii="宋体" w:hAnsi="宋体" w:cs="宋体"/>
                <w:color w:val="000000"/>
              </w:rPr>
            </w:pPr>
            <w:r>
              <w:rPr>
                <w:rFonts w:hint="eastAsia" w:ascii="宋体" w:hAnsi="宋体" w:cs="宋体"/>
                <w:color w:val="000000"/>
                <w:lang w:bidi="ar"/>
              </w:rPr>
              <w:t>管理办公室、值班室</w:t>
            </w:r>
          </w:p>
        </w:tc>
        <w:tc>
          <w:tcPr>
            <w:tcW w:w="636" w:type="pct"/>
            <w:tcBorders>
              <w:top w:val="single" w:color="auto" w:sz="4" w:space="0"/>
              <w:left w:val="single" w:color="auto" w:sz="4" w:space="0"/>
              <w:bottom w:val="single" w:color="auto" w:sz="4" w:space="0"/>
              <w:right w:val="single" w:color="auto" w:sz="4" w:space="0"/>
            </w:tcBorders>
            <w:shd w:val="clear" w:color="auto" w:fill="auto"/>
          </w:tcPr>
          <w:p w14:paraId="22C35DC1">
            <w:pPr>
              <w:spacing w:line="240" w:lineRule="auto"/>
              <w:jc w:val="center"/>
              <w:rPr>
                <w:rFonts w:ascii="宋体" w:hAnsi="宋体" w:cs="宋体"/>
                <w:color w:val="000000"/>
              </w:rPr>
            </w:pPr>
            <w:r>
              <w:rPr>
                <w:rFonts w:hint="eastAsia" w:ascii="宋体" w:hAnsi="宋体" w:cs="宋体"/>
                <w:color w:val="000000"/>
                <w:lang w:bidi="ar"/>
              </w:rPr>
              <w:t>距地0.75m</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698370C9">
            <w:pPr>
              <w:spacing w:line="240" w:lineRule="auto"/>
              <w:jc w:val="center"/>
              <w:rPr>
                <w:rFonts w:ascii="宋体" w:hAnsi="宋体" w:cs="宋体"/>
                <w:color w:val="000000"/>
              </w:rPr>
            </w:pPr>
            <w:r>
              <w:rPr>
                <w:rFonts w:hint="eastAsia" w:ascii="宋体" w:hAnsi="宋体" w:cs="宋体"/>
                <w:color w:val="000000"/>
                <w:lang w:bidi="ar"/>
              </w:rPr>
              <w:t>300</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48FBC97F">
            <w:pPr>
              <w:spacing w:line="240" w:lineRule="auto"/>
              <w:jc w:val="center"/>
              <w:rPr>
                <w:rFonts w:ascii="宋体" w:hAnsi="宋体" w:cs="宋体"/>
                <w:color w:val="000000"/>
              </w:rPr>
            </w:pPr>
            <w:r>
              <w:rPr>
                <w:rFonts w:hint="eastAsia" w:ascii="宋体" w:hAnsi="宋体" w:cs="宋体"/>
                <w:color w:val="000000"/>
                <w:lang w:bidi="ar"/>
              </w:rPr>
              <w:t>19</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2E9272CC">
            <w:pPr>
              <w:spacing w:line="240" w:lineRule="auto"/>
              <w:jc w:val="center"/>
              <w:rPr>
                <w:rFonts w:ascii="宋体" w:hAnsi="宋体" w:cs="宋体"/>
                <w:color w:val="000000"/>
              </w:rPr>
            </w:pPr>
            <w:r>
              <w:rPr>
                <w:rFonts w:hint="eastAsia" w:ascii="宋体" w:hAnsi="宋体" w:cs="宋体"/>
                <w:color w:val="000000"/>
                <w:lang w:bidi="ar"/>
              </w:rPr>
              <w:t>80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1CC0AED4">
            <w:pPr>
              <w:spacing w:line="240" w:lineRule="auto"/>
              <w:jc w:val="center"/>
              <w:rPr>
                <w:rFonts w:ascii="宋体" w:hAnsi="宋体" w:cs="宋体"/>
                <w:color w:val="000000"/>
              </w:rPr>
            </w:pPr>
            <w:r>
              <w:rPr>
                <w:rFonts w:hint="eastAsia" w:ascii="宋体" w:hAnsi="宋体" w:cs="宋体"/>
                <w:color w:val="000000"/>
                <w:lang w:bidi="ar"/>
              </w:rPr>
              <w:t>9</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5465FA08">
            <w:pPr>
              <w:spacing w:line="240" w:lineRule="auto"/>
              <w:jc w:val="center"/>
              <w:rPr>
                <w:rFonts w:ascii="宋体" w:hAnsi="宋体" w:cs="宋体"/>
                <w:color w:val="000000"/>
              </w:rPr>
            </w:pPr>
            <w:r>
              <w:rPr>
                <w:rFonts w:hint="eastAsia" w:ascii="宋体" w:hAnsi="宋体" w:cs="宋体"/>
                <w:color w:val="000000"/>
                <w:lang w:bidi="ar"/>
              </w:rPr>
              <w:t>8</w:t>
            </w:r>
          </w:p>
        </w:tc>
      </w:tr>
      <w:tr w14:paraId="2854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3" w:type="pct"/>
            <w:gridSpan w:val="2"/>
            <w:tcBorders>
              <w:top w:val="single" w:color="auto" w:sz="4" w:space="0"/>
              <w:left w:val="single" w:color="auto" w:sz="4" w:space="0"/>
              <w:bottom w:val="single" w:color="auto" w:sz="4" w:space="0"/>
              <w:right w:val="single" w:color="auto" w:sz="4" w:space="0"/>
            </w:tcBorders>
            <w:shd w:val="clear" w:color="auto" w:fill="auto"/>
          </w:tcPr>
          <w:p w14:paraId="3A9FBDE1">
            <w:pPr>
              <w:spacing w:line="240" w:lineRule="auto"/>
              <w:rPr>
                <w:rFonts w:ascii="宋体" w:hAnsi="宋体" w:cs="宋体"/>
                <w:color w:val="000000"/>
              </w:rPr>
            </w:pPr>
            <w:r>
              <w:rPr>
                <w:rFonts w:hint="eastAsia" w:ascii="宋体" w:hAnsi="宋体" w:cs="宋体"/>
                <w:color w:val="000000"/>
                <w:lang w:bidi="ar"/>
              </w:rPr>
              <w:t>卫生间</w:t>
            </w:r>
          </w:p>
        </w:tc>
        <w:tc>
          <w:tcPr>
            <w:tcW w:w="636" w:type="pct"/>
            <w:tcBorders>
              <w:top w:val="single" w:color="auto" w:sz="4" w:space="0"/>
              <w:left w:val="single" w:color="auto" w:sz="4" w:space="0"/>
              <w:bottom w:val="single" w:color="auto" w:sz="4" w:space="0"/>
              <w:right w:val="single" w:color="auto" w:sz="4" w:space="0"/>
            </w:tcBorders>
            <w:shd w:val="clear" w:color="auto" w:fill="auto"/>
          </w:tcPr>
          <w:p w14:paraId="263BA64B">
            <w:pPr>
              <w:spacing w:line="240" w:lineRule="auto"/>
              <w:jc w:val="center"/>
              <w:rPr>
                <w:rFonts w:ascii="宋体" w:hAnsi="宋体" w:cs="宋体"/>
                <w:color w:val="000000"/>
              </w:rPr>
            </w:pPr>
            <w:r>
              <w:rPr>
                <w:rFonts w:hint="eastAsia" w:ascii="宋体" w:hAnsi="宋体" w:cs="宋体"/>
                <w:color w:val="000000"/>
                <w:lang w:bidi="ar"/>
              </w:rPr>
              <w:t>地面</w:t>
            </w:r>
          </w:p>
        </w:tc>
        <w:tc>
          <w:tcPr>
            <w:tcW w:w="650" w:type="pct"/>
            <w:tcBorders>
              <w:top w:val="single" w:color="auto" w:sz="4" w:space="0"/>
              <w:left w:val="single" w:color="auto" w:sz="4" w:space="0"/>
              <w:bottom w:val="single" w:color="auto" w:sz="4" w:space="0"/>
              <w:right w:val="single" w:color="auto" w:sz="4" w:space="0"/>
            </w:tcBorders>
            <w:shd w:val="clear" w:color="auto" w:fill="auto"/>
          </w:tcPr>
          <w:p w14:paraId="562BF620">
            <w:pPr>
              <w:spacing w:line="240" w:lineRule="auto"/>
              <w:jc w:val="center"/>
              <w:rPr>
                <w:rFonts w:ascii="宋体" w:hAnsi="宋体" w:cs="宋体"/>
                <w:color w:val="000000"/>
              </w:rPr>
            </w:pPr>
            <w:r>
              <w:rPr>
                <w:rFonts w:hint="eastAsia" w:ascii="宋体" w:hAnsi="宋体" w:cs="宋体"/>
                <w:color w:val="000000"/>
                <w:lang w:bidi="ar"/>
              </w:rPr>
              <w:t>75</w:t>
            </w:r>
          </w:p>
        </w:tc>
        <w:tc>
          <w:tcPr>
            <w:tcW w:w="454" w:type="pct"/>
            <w:tcBorders>
              <w:top w:val="single" w:color="auto" w:sz="4" w:space="0"/>
              <w:left w:val="single" w:color="auto" w:sz="4" w:space="0"/>
              <w:bottom w:val="single" w:color="auto" w:sz="4" w:space="0"/>
              <w:right w:val="single" w:color="auto" w:sz="4" w:space="0"/>
            </w:tcBorders>
            <w:shd w:val="clear" w:color="auto" w:fill="auto"/>
          </w:tcPr>
          <w:p w14:paraId="5A01CF77">
            <w:pPr>
              <w:spacing w:line="240" w:lineRule="auto"/>
              <w:jc w:val="center"/>
              <w:rPr>
                <w:rFonts w:ascii="宋体" w:hAnsi="宋体" w:cs="宋体"/>
                <w:color w:val="000000"/>
              </w:rPr>
            </w:pPr>
            <w:r>
              <w:rPr>
                <w:rFonts w:hint="eastAsia" w:ascii="宋体" w:hAnsi="宋体" w:cs="宋体"/>
                <w:color w:val="000000"/>
                <w:lang w:bidi="ar"/>
              </w:rPr>
              <w:t>--</w:t>
            </w:r>
          </w:p>
        </w:tc>
        <w:tc>
          <w:tcPr>
            <w:tcW w:w="642" w:type="pct"/>
            <w:tcBorders>
              <w:top w:val="single" w:color="auto" w:sz="4" w:space="0"/>
              <w:left w:val="single" w:color="auto" w:sz="4" w:space="0"/>
              <w:bottom w:val="single" w:color="auto" w:sz="4" w:space="0"/>
              <w:right w:val="single" w:color="auto" w:sz="4" w:space="0"/>
            </w:tcBorders>
            <w:shd w:val="clear" w:color="auto" w:fill="auto"/>
          </w:tcPr>
          <w:p w14:paraId="308EFCDB">
            <w:pPr>
              <w:spacing w:line="240" w:lineRule="auto"/>
              <w:jc w:val="center"/>
              <w:rPr>
                <w:rFonts w:ascii="宋体" w:hAnsi="宋体" w:cs="宋体"/>
                <w:color w:val="000000"/>
              </w:rPr>
            </w:pPr>
            <w:r>
              <w:rPr>
                <w:rFonts w:hint="eastAsia" w:ascii="宋体" w:hAnsi="宋体" w:cs="宋体"/>
                <w:color w:val="000000"/>
                <w:lang w:bidi="ar"/>
              </w:rPr>
              <w:t>60</w:t>
            </w:r>
          </w:p>
        </w:tc>
        <w:tc>
          <w:tcPr>
            <w:tcW w:w="595" w:type="pct"/>
            <w:tcBorders>
              <w:top w:val="single" w:color="auto" w:sz="4" w:space="0"/>
              <w:left w:val="single" w:color="auto" w:sz="4" w:space="0"/>
              <w:bottom w:val="single" w:color="auto" w:sz="4" w:space="0"/>
              <w:right w:val="single" w:color="auto" w:sz="4" w:space="0"/>
            </w:tcBorders>
            <w:shd w:val="clear" w:color="auto" w:fill="auto"/>
          </w:tcPr>
          <w:p w14:paraId="5F4FEAF6">
            <w:pPr>
              <w:spacing w:line="240" w:lineRule="auto"/>
              <w:jc w:val="center"/>
              <w:rPr>
                <w:rFonts w:ascii="宋体" w:hAnsi="宋体" w:cs="宋体"/>
                <w:color w:val="000000"/>
              </w:rPr>
            </w:pPr>
            <w:r>
              <w:rPr>
                <w:rFonts w:hint="eastAsia" w:ascii="宋体" w:hAnsi="宋体" w:cs="宋体"/>
                <w:color w:val="000000"/>
                <w:lang w:bidi="ar"/>
              </w:rPr>
              <w:t>3.5</w:t>
            </w:r>
          </w:p>
        </w:tc>
        <w:tc>
          <w:tcPr>
            <w:tcW w:w="487" w:type="pct"/>
            <w:tcBorders>
              <w:top w:val="single" w:color="auto" w:sz="4" w:space="0"/>
              <w:left w:val="single" w:color="auto" w:sz="4" w:space="0"/>
              <w:bottom w:val="single" w:color="auto" w:sz="4" w:space="0"/>
              <w:right w:val="single" w:color="auto" w:sz="4" w:space="0"/>
            </w:tcBorders>
            <w:shd w:val="clear" w:color="auto" w:fill="auto"/>
          </w:tcPr>
          <w:p w14:paraId="2FF35E20">
            <w:pPr>
              <w:spacing w:line="240" w:lineRule="auto"/>
              <w:jc w:val="center"/>
              <w:rPr>
                <w:rFonts w:ascii="宋体" w:hAnsi="宋体" w:cs="宋体"/>
                <w:color w:val="000000"/>
              </w:rPr>
            </w:pPr>
            <w:r>
              <w:rPr>
                <w:rFonts w:hint="eastAsia" w:ascii="宋体" w:hAnsi="宋体" w:cs="宋体"/>
                <w:color w:val="000000"/>
                <w:lang w:bidi="ar"/>
              </w:rPr>
              <w:t>3</w:t>
            </w:r>
          </w:p>
        </w:tc>
      </w:tr>
    </w:tbl>
    <w:p w14:paraId="3E812999">
      <w:pPr>
        <w:spacing w:line="240" w:lineRule="auto"/>
        <w:rPr>
          <w:rFonts w:ascii="宋体" w:hAnsi="宋体" w:cs="宋体"/>
          <w:color w:val="000000"/>
          <w:kern w:val="0"/>
          <w:shd w:val="clear" w:color="auto" w:fill="FFFFFF"/>
        </w:rPr>
      </w:pPr>
      <w:r>
        <w:rPr>
          <w:rFonts w:hint="eastAsia" w:ascii="宋体" w:hAnsi="宋体" w:cs="宋体"/>
          <w:color w:val="000000"/>
          <w:lang w:bidi="ar"/>
        </w:rPr>
        <w:t>注：行车弯道处，照度标准值宜提高一级。</w:t>
      </w:r>
    </w:p>
    <w:p w14:paraId="6F0722A0">
      <w:pPr>
        <w:pStyle w:val="108"/>
        <w:numPr>
          <w:ilvl w:val="4"/>
          <w:numId w:val="34"/>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lang w:bidi="ar"/>
        </w:rPr>
        <w:t>机械式停车（场）库应设置220V、380V电源检修插座。</w:t>
      </w:r>
    </w:p>
    <w:p w14:paraId="5CB7AC9A">
      <w:pPr>
        <w:pStyle w:val="108"/>
        <w:numPr>
          <w:ilvl w:val="4"/>
          <w:numId w:val="34"/>
        </w:numPr>
        <w:spacing w:before="0" w:beforeLines="0" w:after="0" w:afterLines="0"/>
        <w:outlineLvl w:val="9"/>
        <w:rPr>
          <w:rFonts w:ascii="宋体" w:hAnsi="宋体" w:eastAsia="宋体" w:cs="宋体"/>
          <w:bCs/>
          <w:color w:val="000000"/>
          <w:kern w:val="2"/>
          <w:szCs w:val="21"/>
        </w:rPr>
      </w:pPr>
      <w:r>
        <w:rPr>
          <w:rFonts w:hint="eastAsia" w:ascii="宋体" w:hAnsi="宋体" w:eastAsia="宋体" w:cs="宋体"/>
          <w:color w:val="000000"/>
          <w:kern w:val="2"/>
          <w:szCs w:val="21"/>
          <w:lang w:bidi="ar"/>
        </w:rPr>
        <w:t>除室内无车道且无人员停留的机械式汽车库外，汽车库内应设置消防应急照明和疏散指示标志，消防应急照明和疏散指示系统的设置应符合《</w:t>
      </w:r>
      <w:r>
        <w:rPr>
          <w:rFonts w:hint="eastAsia" w:ascii="宋体" w:hAnsi="宋体" w:eastAsia="宋体" w:cs="宋体"/>
          <w:bCs/>
          <w:color w:val="000000"/>
          <w:kern w:val="2"/>
          <w:szCs w:val="21"/>
          <w:lang w:bidi="ar"/>
        </w:rPr>
        <w:t>消防应急照明和疏散指示系统技术标准》GB 51309 的要求。</w:t>
      </w:r>
    </w:p>
    <w:p w14:paraId="1721785D">
      <w:pPr>
        <w:pStyle w:val="108"/>
        <w:numPr>
          <w:ilvl w:val="4"/>
          <w:numId w:val="34"/>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lang w:bidi="ar"/>
        </w:rPr>
        <w:t>停车楼以及安装在室外且相对周围建筑物处在较高位置的停车设备，应考虑雷击防护，防雷设计应符合现行国家标准《建筑物防雷设计规范》GB 50057的规定。</w:t>
      </w:r>
    </w:p>
    <w:p w14:paraId="4F0B5716">
      <w:pPr>
        <w:pStyle w:val="108"/>
        <w:numPr>
          <w:ilvl w:val="4"/>
          <w:numId w:val="34"/>
        </w:numPr>
        <w:spacing w:before="0" w:beforeLines="0" w:after="0" w:afterLines="0"/>
        <w:outlineLvl w:val="9"/>
        <w:rPr>
          <w:rFonts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lang w:bidi="ar"/>
        </w:rPr>
        <w:t>供电系统的接地型式宜采用TN-S系统；机械停车设备的金属构件及电气设备的金属外壳、管槽、电缆金属护层均应有可靠接地并设置等电位联结。</w:t>
      </w:r>
    </w:p>
    <w:p w14:paraId="37B7E2D0">
      <w:pPr>
        <w:pStyle w:val="108"/>
        <w:numPr>
          <w:ilvl w:val="4"/>
          <w:numId w:val="34"/>
        </w:numPr>
        <w:spacing w:before="0" w:beforeLines="0" w:after="0" w:afterLines="0"/>
        <w:outlineLvl w:val="9"/>
        <w:rPr>
          <w:rFonts w:ascii="宋体" w:hAnsi="宋体" w:eastAsia="宋体" w:cs="宋体"/>
          <w:color w:val="000000"/>
          <w:kern w:val="2"/>
          <w:szCs w:val="21"/>
        </w:rPr>
      </w:pPr>
      <w:r>
        <w:rPr>
          <w:rFonts w:hint="eastAsia" w:ascii="宋体" w:hAnsi="宋体" w:eastAsia="宋体" w:cs="宋体"/>
          <w:color w:val="000000"/>
          <w:kern w:val="2"/>
          <w:szCs w:val="21"/>
          <w:lang w:bidi="ar"/>
        </w:rPr>
        <w:t>车库内的火灾自动报警系统，应按现行国家标准《汽车库、修车库、停车场设计防火规范》GB 50067、《建筑设计防火规范》GB 50016和《火灾自动报警系统设计规范》GB 50116执行。</w:t>
      </w:r>
    </w:p>
    <w:p w14:paraId="21D4D51E">
      <w:pPr>
        <w:spacing w:line="240" w:lineRule="auto"/>
        <w:ind w:firstLine="1050" w:firstLineChars="500"/>
        <w:jc w:val="left"/>
        <w:rPr>
          <w:rFonts w:ascii="宋体" w:hAnsi="宋体" w:cs="宋体"/>
          <w:color w:val="000000"/>
        </w:rPr>
      </w:pPr>
      <w:r>
        <w:rPr>
          <w:rFonts w:hint="eastAsia" w:ascii="宋体" w:hAnsi="宋体" w:cs="宋体"/>
          <w:color w:val="000000"/>
          <w:lang w:bidi="ar"/>
        </w:rPr>
        <w:t>除敞开式汽车库、屋面停车场外，下列汽车库、修车库应设置火灾自动报警系统：</w:t>
      </w:r>
    </w:p>
    <w:p w14:paraId="521C9EBB">
      <w:pPr>
        <w:spacing w:line="240" w:lineRule="auto"/>
        <w:ind w:firstLine="840" w:firstLineChars="400"/>
        <w:jc w:val="left"/>
        <w:rPr>
          <w:rFonts w:ascii="宋体" w:hAnsi="宋体" w:cs="宋体"/>
          <w:color w:val="000000"/>
        </w:rPr>
      </w:pPr>
      <w:r>
        <w:rPr>
          <w:rFonts w:hint="eastAsia" w:ascii="黑体" w:hAnsi="黑体" w:eastAsia="黑体" w:cs="黑体"/>
          <w:color w:val="000000"/>
          <w:lang w:bidi="ar"/>
        </w:rPr>
        <w:t>1</w:t>
      </w:r>
      <w:r>
        <w:rPr>
          <w:rFonts w:hint="eastAsia" w:ascii="宋体" w:hAnsi="宋体" w:cs="宋体"/>
          <w:color w:val="000000"/>
          <w:lang w:bidi="ar"/>
        </w:rPr>
        <w:t xml:space="preserve">  Ⅰ类汽车库、修车库；</w:t>
      </w:r>
    </w:p>
    <w:p w14:paraId="61986AE0">
      <w:pPr>
        <w:spacing w:line="240" w:lineRule="auto"/>
        <w:ind w:firstLine="840" w:firstLineChars="400"/>
        <w:jc w:val="left"/>
        <w:rPr>
          <w:rFonts w:ascii="宋体" w:hAnsi="宋体" w:cs="宋体"/>
          <w:color w:val="000000"/>
        </w:rPr>
      </w:pPr>
      <w:r>
        <w:rPr>
          <w:rFonts w:hint="eastAsia" w:ascii="黑体" w:hAnsi="黑体" w:eastAsia="黑体" w:cs="黑体"/>
          <w:color w:val="000000"/>
          <w:lang w:bidi="ar"/>
        </w:rPr>
        <w:t>2</w:t>
      </w:r>
      <w:r>
        <w:rPr>
          <w:rFonts w:hint="eastAsia" w:ascii="宋体" w:hAnsi="宋体" w:cs="宋体"/>
          <w:color w:val="000000"/>
          <w:lang w:bidi="ar"/>
        </w:rPr>
        <w:t xml:space="preserve">  Ⅱ类地下、半地下汽车库、修车库；</w:t>
      </w:r>
    </w:p>
    <w:p w14:paraId="12A124C4">
      <w:pPr>
        <w:spacing w:line="240" w:lineRule="auto"/>
        <w:ind w:firstLine="840" w:firstLineChars="400"/>
        <w:jc w:val="left"/>
        <w:rPr>
          <w:rFonts w:ascii="宋体" w:hAnsi="宋体" w:cs="宋体"/>
          <w:color w:val="000000"/>
        </w:rPr>
      </w:pPr>
      <w:r>
        <w:rPr>
          <w:rFonts w:hint="eastAsia" w:ascii="黑体" w:hAnsi="黑体" w:eastAsia="黑体" w:cs="黑体"/>
          <w:color w:val="000000"/>
          <w:lang w:bidi="ar"/>
        </w:rPr>
        <w:t>3</w:t>
      </w:r>
      <w:r>
        <w:rPr>
          <w:rFonts w:hint="eastAsia" w:ascii="宋体" w:hAnsi="宋体" w:cs="宋体"/>
          <w:color w:val="000000"/>
          <w:lang w:bidi="ar"/>
        </w:rPr>
        <w:t xml:space="preserve">  Ⅱ类高层汽车库、修车库；</w:t>
      </w:r>
    </w:p>
    <w:p w14:paraId="60884E14">
      <w:pPr>
        <w:spacing w:line="240" w:lineRule="auto"/>
        <w:ind w:firstLine="840" w:firstLineChars="400"/>
        <w:jc w:val="left"/>
        <w:rPr>
          <w:rFonts w:ascii="宋体" w:hAnsi="宋体" w:cs="宋体"/>
          <w:color w:val="000000"/>
        </w:rPr>
      </w:pPr>
      <w:r>
        <w:rPr>
          <w:rFonts w:hint="eastAsia" w:ascii="黑体" w:hAnsi="黑体" w:eastAsia="黑体" w:cs="黑体"/>
          <w:color w:val="000000"/>
          <w:lang w:bidi="ar"/>
        </w:rPr>
        <w:t>4</w:t>
      </w:r>
      <w:r>
        <w:rPr>
          <w:rFonts w:hint="eastAsia" w:ascii="宋体" w:hAnsi="宋体" w:cs="宋体"/>
          <w:color w:val="000000"/>
          <w:lang w:bidi="ar"/>
        </w:rPr>
        <w:t xml:space="preserve">  机械式汽车库；</w:t>
      </w:r>
    </w:p>
    <w:p w14:paraId="54F96232">
      <w:pPr>
        <w:spacing w:line="240" w:lineRule="auto"/>
        <w:ind w:firstLine="840" w:firstLineChars="400"/>
        <w:jc w:val="left"/>
        <w:rPr>
          <w:rFonts w:ascii="宋体" w:hAnsi="宋体" w:cs="宋体"/>
          <w:color w:val="000000"/>
          <w:lang w:bidi="ar"/>
        </w:rPr>
      </w:pPr>
      <w:r>
        <w:rPr>
          <w:rFonts w:hint="eastAsia" w:ascii="黑体" w:hAnsi="黑体" w:eastAsia="黑体" w:cs="黑体"/>
          <w:color w:val="000000"/>
          <w:lang w:bidi="ar"/>
        </w:rPr>
        <w:t>5</w:t>
      </w:r>
      <w:r>
        <w:rPr>
          <w:rFonts w:hint="eastAsia" w:ascii="宋体" w:hAnsi="宋体" w:cs="宋体"/>
          <w:color w:val="000000"/>
          <w:lang w:bidi="ar"/>
        </w:rPr>
        <w:t xml:space="preserve">  采用汽车专用升降机作汽车疏散出口的汽车库。</w:t>
      </w:r>
    </w:p>
    <w:p w14:paraId="2A595AC2">
      <w:pPr>
        <w:pStyle w:val="108"/>
        <w:numPr>
          <w:ilvl w:val="4"/>
          <w:numId w:val="34"/>
        </w:numPr>
        <w:spacing w:before="0" w:beforeLines="0" w:after="0" w:afterLines="0"/>
        <w:outlineLvl w:val="9"/>
        <w:rPr>
          <w:rFonts w:ascii="宋体" w:hAnsi="宋体" w:eastAsia="宋体" w:cs="宋体"/>
          <w:color w:val="000000"/>
          <w:spacing w:val="-10"/>
          <w:kern w:val="2"/>
          <w:szCs w:val="21"/>
        </w:rPr>
      </w:pPr>
      <w:r>
        <w:rPr>
          <w:rFonts w:hint="eastAsia" w:ascii="宋体" w:hAnsi="宋体" w:eastAsia="宋体" w:cs="宋体"/>
          <w:color w:val="000000"/>
          <w:spacing w:val="-18"/>
          <w:kern w:val="2"/>
          <w:szCs w:val="21"/>
          <w:lang w:bidi="ar"/>
        </w:rPr>
        <w:t>公共</w:t>
      </w:r>
      <w:r>
        <w:rPr>
          <w:rFonts w:hint="eastAsia" w:ascii="宋体" w:hAnsi="宋体" w:eastAsia="宋体" w:cs="宋体"/>
          <w:color w:val="000000"/>
          <w:kern w:val="2"/>
          <w:szCs w:val="21"/>
          <w:lang w:bidi="ar"/>
        </w:rPr>
        <w:t>建筑物配建</w:t>
      </w:r>
      <w:r>
        <w:rPr>
          <w:rFonts w:hint="eastAsia" w:ascii="宋体" w:hAnsi="宋体" w:eastAsia="宋体" w:cs="宋体"/>
          <w:color w:val="000000"/>
          <w:spacing w:val="-10"/>
          <w:kern w:val="2"/>
          <w:szCs w:val="21"/>
          <w:lang w:bidi="ar"/>
        </w:rPr>
        <w:t>停车场、社会</w:t>
      </w:r>
      <w:r>
        <w:rPr>
          <w:rFonts w:hint="eastAsia" w:ascii="宋体" w:hAnsi="宋体" w:eastAsia="宋体" w:cs="宋体"/>
          <w:color w:val="000000"/>
          <w:kern w:val="2"/>
          <w:szCs w:val="21"/>
          <w:lang w:bidi="ar"/>
        </w:rPr>
        <w:t>公共停车场建设</w:t>
      </w:r>
      <w:r>
        <w:rPr>
          <w:rFonts w:hint="eastAsia" w:ascii="宋体" w:hAnsi="宋体" w:eastAsia="宋体" w:cs="宋体"/>
          <w:color w:val="000000"/>
          <w:spacing w:val="-10"/>
          <w:kern w:val="2"/>
          <w:szCs w:val="21"/>
          <w:lang w:bidi="ar"/>
        </w:rPr>
        <w:t>充</w:t>
      </w:r>
      <w:r>
        <w:rPr>
          <w:rFonts w:hint="eastAsia" w:ascii="宋体" w:hAnsi="宋体" w:eastAsia="宋体" w:cs="宋体"/>
          <w:color w:val="000000"/>
          <w:kern w:val="2"/>
          <w:szCs w:val="21"/>
          <w:lang w:bidi="ar"/>
        </w:rPr>
        <w:t>电基础设施与预留建设安装条件的车位比例应按《福建省电动汽车充电基础设</w:t>
      </w:r>
      <w:r>
        <w:rPr>
          <w:rFonts w:hint="eastAsia" w:ascii="宋体" w:hAnsi="宋体" w:eastAsia="宋体" w:cs="宋体"/>
          <w:color w:val="000000"/>
          <w:spacing w:val="-10"/>
          <w:kern w:val="2"/>
          <w:szCs w:val="21"/>
          <w:lang w:bidi="ar"/>
        </w:rPr>
        <w:t>施</w:t>
      </w:r>
      <w:r>
        <w:rPr>
          <w:rFonts w:hint="eastAsia" w:ascii="宋体" w:hAnsi="宋体" w:eastAsia="宋体" w:cs="宋体"/>
          <w:color w:val="000000"/>
          <w:kern w:val="2"/>
          <w:szCs w:val="21"/>
          <w:lang w:bidi="ar"/>
        </w:rPr>
        <w:t>建设技术</w:t>
      </w:r>
      <w:r>
        <w:rPr>
          <w:rFonts w:hint="eastAsia" w:ascii="宋体" w:hAnsi="宋体" w:eastAsia="宋体" w:cs="宋体"/>
          <w:color w:val="000000"/>
          <w:spacing w:val="-5"/>
          <w:kern w:val="2"/>
          <w:szCs w:val="21"/>
          <w:lang w:bidi="ar"/>
        </w:rPr>
        <w:t>规程》DBJ 13-278执行</w:t>
      </w:r>
      <w:r>
        <w:rPr>
          <w:rFonts w:hint="eastAsia" w:ascii="宋体" w:hAnsi="宋体" w:eastAsia="宋体" w:cs="宋体"/>
          <w:color w:val="000000"/>
          <w:szCs w:val="21"/>
          <w:shd w:val="clear" w:color="auto" w:fill="FFFFFF"/>
          <w:lang w:bidi="ar"/>
        </w:rPr>
        <w:t>（应不低于20%车位数量，其中快充占充电车位的比例不应低于45%，）</w:t>
      </w:r>
      <w:r>
        <w:rPr>
          <w:rFonts w:hint="eastAsia" w:ascii="宋体" w:hAnsi="宋体" w:eastAsia="宋体" w:cs="宋体"/>
          <w:color w:val="000000"/>
          <w:spacing w:val="-5"/>
          <w:kern w:val="2"/>
          <w:szCs w:val="21"/>
          <w:lang w:bidi="ar"/>
        </w:rPr>
        <w:t>，</w:t>
      </w:r>
      <w:r>
        <w:rPr>
          <w:rFonts w:hint="eastAsia" w:ascii="宋体" w:hAnsi="宋体" w:eastAsia="宋体" w:cs="宋体"/>
          <w:color w:val="000000"/>
          <w:kern w:val="2"/>
          <w:szCs w:val="21"/>
          <w:lang w:bidi="ar"/>
        </w:rPr>
        <w:t>中心城区范围内</w:t>
      </w:r>
      <w:r>
        <w:rPr>
          <w:rFonts w:hint="eastAsia" w:ascii="宋体" w:hAnsi="宋体" w:eastAsia="宋体" w:cs="宋体"/>
          <w:color w:val="000000"/>
          <w:spacing w:val="-34"/>
          <w:kern w:val="2"/>
          <w:szCs w:val="21"/>
          <w:lang w:bidi="ar"/>
        </w:rPr>
        <w:t>，旅游</w:t>
      </w:r>
      <w:r>
        <w:rPr>
          <w:rFonts w:hint="eastAsia" w:ascii="宋体" w:hAnsi="宋体" w:eastAsia="宋体" w:cs="宋体"/>
          <w:color w:val="000000"/>
          <w:kern w:val="2"/>
          <w:szCs w:val="21"/>
          <w:lang w:bidi="ar"/>
        </w:rPr>
        <w:t>景点周边公共停车场可适度提高充电</w:t>
      </w:r>
      <w:r>
        <w:rPr>
          <w:rFonts w:hint="eastAsia" w:ascii="宋体" w:hAnsi="宋体" w:eastAsia="宋体" w:cs="宋体"/>
          <w:color w:val="000000"/>
          <w:spacing w:val="-10"/>
          <w:kern w:val="2"/>
          <w:szCs w:val="21"/>
          <w:lang w:bidi="ar"/>
        </w:rPr>
        <w:t>桩</w:t>
      </w:r>
      <w:r>
        <w:rPr>
          <w:rFonts w:hint="eastAsia" w:ascii="宋体" w:hAnsi="宋体" w:eastAsia="宋体" w:cs="宋体"/>
          <w:color w:val="000000"/>
          <w:kern w:val="2"/>
          <w:szCs w:val="21"/>
          <w:lang w:bidi="ar"/>
        </w:rPr>
        <w:t>安装比例</w:t>
      </w:r>
      <w:r>
        <w:rPr>
          <w:rFonts w:hint="eastAsia" w:ascii="宋体" w:hAnsi="宋体" w:eastAsia="宋体" w:cs="宋体"/>
          <w:color w:val="000000"/>
          <w:spacing w:val="-10"/>
          <w:kern w:val="2"/>
          <w:szCs w:val="21"/>
          <w:lang w:bidi="ar"/>
        </w:rPr>
        <w:t>。</w:t>
      </w:r>
    </w:p>
    <w:p w14:paraId="41974B4D">
      <w:pPr>
        <w:pStyle w:val="108"/>
        <w:numPr>
          <w:ilvl w:val="4"/>
          <w:numId w:val="34"/>
        </w:numPr>
        <w:spacing w:before="0" w:beforeLines="0" w:after="0" w:afterLines="0"/>
        <w:outlineLvl w:val="9"/>
      </w:pPr>
      <w:r>
        <w:rPr>
          <w:rFonts w:hint="eastAsia" w:ascii="宋体" w:hAnsi="宋体" w:eastAsia="宋体" w:cs="宋体"/>
          <w:color w:val="000000"/>
          <w:kern w:val="2"/>
          <w:szCs w:val="21"/>
          <w:lang w:bidi="ar"/>
        </w:rPr>
        <w:t>鼓励已建住宅小区、交通枢纽、超市卖场、商务楼宇</w:t>
      </w:r>
      <w:r>
        <w:rPr>
          <w:rFonts w:hint="eastAsia" w:ascii="宋体" w:hAnsi="宋体" w:eastAsia="宋体" w:cs="宋体"/>
          <w:color w:val="000000"/>
          <w:spacing w:val="-10"/>
          <w:kern w:val="2"/>
          <w:szCs w:val="21"/>
          <w:lang w:bidi="ar"/>
        </w:rPr>
        <w:t>，</w:t>
      </w:r>
      <w:r>
        <w:rPr>
          <w:rFonts w:hint="eastAsia" w:ascii="宋体" w:hAnsi="宋体" w:eastAsia="宋体" w:cs="宋体"/>
          <w:color w:val="000000"/>
          <w:kern w:val="2"/>
          <w:szCs w:val="21"/>
          <w:lang w:bidi="ar"/>
        </w:rPr>
        <w:t>党政机关、事业单位办公</w:t>
      </w:r>
      <w:r>
        <w:rPr>
          <w:rFonts w:hint="eastAsia" w:ascii="宋体" w:hAnsi="宋体" w:eastAsia="宋体" w:cs="宋体"/>
          <w:color w:val="000000"/>
          <w:spacing w:val="-1"/>
          <w:kern w:val="2"/>
          <w:szCs w:val="21"/>
          <w:lang w:bidi="ar"/>
        </w:rPr>
        <w:t>场所，园区、学校，公共停车场、道路停车位</w:t>
      </w:r>
      <w:r>
        <w:rPr>
          <w:rFonts w:hint="eastAsia" w:ascii="宋体" w:hAnsi="宋体" w:eastAsia="宋体" w:cs="宋体"/>
          <w:color w:val="000000"/>
          <w:kern w:val="2"/>
          <w:szCs w:val="21"/>
          <w:lang w:bidi="ar"/>
        </w:rPr>
        <w:t>等建设充电设施，可以结合旧区改造、停车位改建、道路改</w:t>
      </w:r>
      <w:r>
        <w:rPr>
          <w:rFonts w:hint="eastAsia" w:ascii="宋体" w:hAnsi="宋体" w:eastAsia="宋体" w:cs="宋体"/>
          <w:color w:val="000000"/>
          <w:spacing w:val="-10"/>
          <w:kern w:val="2"/>
          <w:szCs w:val="21"/>
          <w:lang w:bidi="ar"/>
        </w:rPr>
        <w:t>建</w:t>
      </w:r>
      <w:r>
        <w:rPr>
          <w:rFonts w:hint="eastAsia" w:ascii="宋体" w:hAnsi="宋体" w:eastAsia="宋体" w:cs="宋体"/>
          <w:color w:val="000000"/>
          <w:kern w:val="2"/>
          <w:szCs w:val="21"/>
          <w:lang w:bidi="ar"/>
        </w:rPr>
        <w:t>等实施。充电设施建设除应符合本导则外，尚应符合现行国</w:t>
      </w:r>
      <w:r>
        <w:rPr>
          <w:rFonts w:hint="eastAsia" w:ascii="宋体" w:hAnsi="宋体" w:eastAsia="宋体" w:cs="宋体"/>
          <w:color w:val="000000"/>
          <w:spacing w:val="-10"/>
          <w:kern w:val="2"/>
          <w:szCs w:val="21"/>
          <w:lang w:bidi="ar"/>
        </w:rPr>
        <w:t>家</w:t>
      </w:r>
      <w:r>
        <w:rPr>
          <w:rFonts w:hint="eastAsia" w:ascii="宋体" w:hAnsi="宋体" w:eastAsia="宋体" w:cs="宋体"/>
          <w:color w:val="000000"/>
          <w:kern w:val="2"/>
          <w:szCs w:val="21"/>
          <w:lang w:bidi="ar"/>
        </w:rPr>
        <w:t>和地方相关标准的要求</w:t>
      </w:r>
      <w:r>
        <w:rPr>
          <w:rFonts w:hint="eastAsia" w:ascii="宋体" w:hAnsi="宋体" w:eastAsia="宋体" w:cs="宋体"/>
          <w:color w:val="000000"/>
          <w:spacing w:val="-10"/>
          <w:kern w:val="2"/>
          <w:szCs w:val="21"/>
          <w:lang w:bidi="ar"/>
        </w:rPr>
        <w:t>。</w:t>
      </w:r>
    </w:p>
    <w:p w14:paraId="6FDAC3BB">
      <w:pPr>
        <w:pStyle w:val="108"/>
        <w:numPr>
          <w:ilvl w:val="2"/>
          <w:numId w:val="32"/>
        </w:numPr>
        <w:spacing w:before="312" w:after="312"/>
        <w:outlineLvl w:val="1"/>
      </w:pPr>
      <w:r>
        <w:rPr>
          <w:rFonts w:hint="eastAsia" w:hAnsi="黑体" w:cs="黑体"/>
          <w:szCs w:val="21"/>
          <w:lang w:bidi="ar"/>
        </w:rPr>
        <w:t>安全防护设施</w:t>
      </w:r>
    </w:p>
    <w:p w14:paraId="1300A526">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公共停车场（库）应设置有效的预防和救灾设施,城市公共停车场行车坡道应采取防滑措施。确保使用期间的人、车和设备安全，在发生火灾或其它事故时，保证人员的及时疏散。</w:t>
      </w:r>
    </w:p>
    <w:p w14:paraId="52FB0B95">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公共停车场（库）应采用性能可靠的机电设备，对有可能危及人身安全的设备应采取安全防护措施。</w:t>
      </w:r>
    </w:p>
    <w:p w14:paraId="57369673">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公共停车场（库）应按《汽车库、修车库、停车场设计防火规范》GB50067设置有效的预防和救灾设施。</w:t>
      </w:r>
    </w:p>
    <w:p w14:paraId="4E992965">
      <w:pPr>
        <w:pStyle w:val="108"/>
        <w:numPr>
          <w:ilvl w:val="2"/>
          <w:numId w:val="32"/>
        </w:numPr>
        <w:spacing w:before="312" w:after="312"/>
        <w:outlineLvl w:val="1"/>
      </w:pPr>
      <w:r>
        <w:rPr>
          <w:rFonts w:hint="eastAsia" w:hAnsi="黑体" w:cs="黑体"/>
          <w:szCs w:val="21"/>
          <w:lang w:bidi="ar"/>
        </w:rPr>
        <w:t>环境保护设施</w:t>
      </w:r>
    </w:p>
    <w:p w14:paraId="67754CE8">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公共停车场（库）距建筑物的距离应考虑安全、消防、噪声、震动和景观等因素,噪声超标的机电设备应采取减震、降噪措施,在人口,建筑稠密地区建设的停车场建筑应采取防止产生光污染的相关措施。</w:t>
      </w:r>
    </w:p>
    <w:p w14:paraId="6CDB866D">
      <w:pPr>
        <w:pStyle w:val="108"/>
        <w:numPr>
          <w:ilvl w:val="3"/>
          <w:numId w:val="32"/>
        </w:numPr>
        <w:spacing w:before="0" w:beforeLines="0" w:after="0" w:afterLines="0"/>
        <w:outlineLvl w:val="9"/>
        <w:rPr>
          <w:rFonts w:ascii="宋体" w:hAnsi="宋体" w:eastAsia="宋体" w:cs="宋体"/>
        </w:rPr>
      </w:pPr>
      <w:r>
        <w:rPr>
          <w:rFonts w:hint="eastAsia" w:ascii="宋体" w:hAnsi="宋体" w:eastAsia="宋体" w:cs="宋体"/>
        </w:rPr>
        <w:t>公共停车场（库）应合理安排停车位与绿化的比例,宜建设成绿化型停车场。</w:t>
      </w:r>
    </w:p>
    <w:p w14:paraId="52F1BD0D">
      <w:pPr>
        <w:pStyle w:val="108"/>
        <w:numPr>
          <w:ilvl w:val="2"/>
          <w:numId w:val="32"/>
        </w:numPr>
        <w:spacing w:before="312" w:after="312"/>
        <w:outlineLvl w:val="1"/>
      </w:pPr>
      <w:r>
        <w:rPr>
          <w:rFonts w:hint="eastAsia" w:hAnsi="黑体" w:cs="黑体"/>
          <w:szCs w:val="21"/>
          <w:lang w:bidi="ar"/>
        </w:rPr>
        <w:t>交通工程设施</w:t>
      </w:r>
    </w:p>
    <w:p w14:paraId="0F1C35BD">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公共停车场</w:t>
      </w:r>
      <w:r>
        <w:rPr>
          <w:rFonts w:hint="eastAsia" w:ascii="宋体" w:hAnsi="宋体" w:eastAsia="宋体" w:cs="宋体"/>
        </w:rPr>
        <w:t>（库）</w:t>
      </w:r>
      <w:r>
        <w:rPr>
          <w:rFonts w:hint="eastAsia" w:ascii="宋体" w:hAnsi="宋体" w:eastAsia="宋体" w:cs="宋体"/>
          <w:kern w:val="2"/>
          <w:szCs w:val="22"/>
          <w:lang w:bidi="ar"/>
        </w:rPr>
        <w:t>交通标志宜采用附着式标志安装方式，条件受限时也可采用单柱、悬臂或门架式标志安装方式，但不应侵占行车与停车限界。场内文字交通标志宜使用中英文对照。</w:t>
      </w:r>
    </w:p>
    <w:p w14:paraId="2DFDB0A8">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公共停车场交通标线包括标划与设置于停车场地面的各种线条、箭头、文字、立面标记、凸起路标与轮廓标等。特大、大型公共停车场应以不同颜色的交通标线区分停车位、行车道与交通方向、禁行（停）部位及场内分区等。</w:t>
      </w:r>
    </w:p>
    <w:p w14:paraId="75E9B099">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特大、大型停车场及其他停车场有需求时应设置信号灯、警报灯、信息板、减速设施以辅助场内交通组织与管理。信号灯与信息板的设置应满足使用者的可视性，且应与停车场其他监控系统相结合，实现自动控制。</w:t>
      </w:r>
    </w:p>
    <w:p w14:paraId="0B4C0568">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特大、大、中型停车场周围1km～3km以内范围的主要出入通道处，应分层次、间隔合理、疏密有序地通过信息显示板和标志进行系统联网的停车诱导。</w:t>
      </w:r>
    </w:p>
    <w:p w14:paraId="66C6C94E">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公共停车场内部及出入口道路，在车辆行驶过程中易出现越出行驶界限、引起碰撞的地方，应设置防撞保护设施。</w:t>
      </w:r>
    </w:p>
    <w:p w14:paraId="2EF8EDDE">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地下车库的玻璃墙体及收费岗亭前，应在迎车面设置防撞护栏。无侧墙坡道及开敞式停车楼临空面应设置刚性防撞护栏。</w:t>
      </w:r>
    </w:p>
    <w:p w14:paraId="4250A1E5">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公共停车场车库通车道、交叉口、转弯处等特殊部位需要防护的设施外侧应设置反光防护桩或反光防护轮廓标。</w:t>
      </w:r>
    </w:p>
    <w:p w14:paraId="7738C3C7">
      <w:pPr>
        <w:pStyle w:val="69"/>
        <w:numPr>
          <w:ilvl w:val="3"/>
          <w:numId w:val="32"/>
        </w:numPr>
        <w:spacing w:before="0" w:beforeLines="0" w:after="0" w:afterLines="0"/>
        <w:outlineLvl w:val="9"/>
        <w:rPr>
          <w:rFonts w:ascii="宋体" w:hAnsi="宋体" w:eastAsia="宋体" w:cs="宋体"/>
          <w:kern w:val="2"/>
          <w:szCs w:val="22"/>
          <w:lang w:bidi="ar"/>
        </w:rPr>
      </w:pPr>
      <w:r>
        <w:rPr>
          <w:rFonts w:hint="eastAsia" w:ascii="宋体" w:hAnsi="宋体" w:eastAsia="宋体" w:cs="宋体"/>
          <w:kern w:val="2"/>
          <w:szCs w:val="22"/>
          <w:lang w:bidi="ar"/>
        </w:rPr>
        <w:t>行人出入口处的楼梯或电梯口周边应设置止车柱，防止停放车辆撞击行人或阻碍行人通行。</w:t>
      </w:r>
    </w:p>
    <w:p w14:paraId="4C9FE538">
      <w:pPr>
        <w:pStyle w:val="69"/>
        <w:numPr>
          <w:ilvl w:val="3"/>
          <w:numId w:val="32"/>
        </w:numPr>
        <w:spacing w:before="0" w:beforeLines="0" w:after="0" w:afterLines="0"/>
        <w:outlineLvl w:val="9"/>
      </w:pPr>
      <w:r>
        <w:rPr>
          <w:rFonts w:hint="eastAsia" w:ascii="宋体" w:hAnsi="宋体" w:eastAsia="宋体" w:cs="宋体"/>
          <w:kern w:val="2"/>
          <w:szCs w:val="22"/>
          <w:lang w:bidi="ar"/>
        </w:rPr>
        <w:t>公共停车场应在停车位临障碍处设置车轮定位器，以保障停车安全。车轮定位器应设置于距停车位端线为机动车前悬或后悬的尺寸减0.2m处，高度宜为0.15m，且不阻碍地面排水。大型车辆、特种车辆停车位挡车器设置位置应适当调整。</w:t>
      </w:r>
    </w:p>
    <w:p w14:paraId="5413D102">
      <w:pPr>
        <w:pStyle w:val="60"/>
        <w:ind w:firstLine="0" w:firstLineChars="0"/>
        <w:rPr>
          <w:rFonts w:hAnsi="宋体" w:cs="宋体"/>
          <w:kern w:val="2"/>
          <w:szCs w:val="22"/>
          <w:lang w:bidi="ar"/>
        </w:rPr>
      </w:pPr>
    </w:p>
    <w:p w14:paraId="5D74D748">
      <w:pPr>
        <w:pStyle w:val="60"/>
        <w:ind w:firstLine="420"/>
        <w:rPr>
          <w:rFonts w:hAnsi="宋体" w:cs="宋体"/>
          <w:kern w:val="2"/>
          <w:szCs w:val="22"/>
          <w:lang w:bidi="ar"/>
        </w:rPr>
      </w:pPr>
    </w:p>
    <w:p w14:paraId="57D52277">
      <w:pPr>
        <w:pStyle w:val="60"/>
        <w:ind w:firstLine="0" w:firstLineChars="0"/>
        <w:rPr>
          <w:rFonts w:hAnsi="宋体" w:cs="宋体"/>
          <w:kern w:val="2"/>
          <w:szCs w:val="22"/>
          <w:lang w:bidi="ar"/>
        </w:rPr>
      </w:pPr>
    </w:p>
    <w:p w14:paraId="2CA5BFEB">
      <w:pPr>
        <w:widowControl/>
        <w:adjustRightInd/>
        <w:spacing w:line="240" w:lineRule="auto"/>
        <w:jc w:val="left"/>
        <w:rPr>
          <w:rFonts w:ascii="黑体" w:hAnsi="Times New Roman" w:eastAsia="黑体"/>
          <w:kern w:val="0"/>
          <w:szCs w:val="20"/>
        </w:rPr>
      </w:pPr>
      <w:r>
        <w:br w:type="page"/>
      </w:r>
    </w:p>
    <w:p w14:paraId="16148250">
      <w:pPr>
        <w:pStyle w:val="80"/>
        <w:spacing w:before="78" w:after="156"/>
      </w:pPr>
      <w:r>
        <w:br w:type="textWrapping"/>
      </w:r>
      <w:r>
        <w:rPr>
          <w:rFonts w:hint="eastAsia"/>
        </w:rPr>
        <w:t>（资料性）</w:t>
      </w:r>
    </w:p>
    <w:p w14:paraId="0A741C71">
      <w:pPr>
        <w:spacing w:line="240" w:lineRule="auto"/>
        <w:jc w:val="center"/>
        <w:rPr>
          <w:rFonts w:ascii="宋体" w:hAnsi="宋体"/>
          <w:b/>
          <w:bCs/>
        </w:rPr>
      </w:pPr>
      <w:r>
        <w:rPr>
          <w:rFonts w:hint="eastAsia" w:ascii="宋体" w:hAnsi="宋体"/>
        </w:rPr>
        <w:drawing>
          <wp:anchor distT="0" distB="0" distL="114300" distR="114300" simplePos="0" relativeHeight="251661312" behindDoc="0" locked="0" layoutInCell="1" allowOverlap="1">
            <wp:simplePos x="0" y="0"/>
            <wp:positionH relativeFrom="column">
              <wp:posOffset>319405</wp:posOffset>
            </wp:positionH>
            <wp:positionV relativeFrom="paragraph">
              <wp:posOffset>62230</wp:posOffset>
            </wp:positionV>
            <wp:extent cx="4972050" cy="4562475"/>
            <wp:effectExtent l="0" t="0" r="0" b="9525"/>
            <wp:wrapTopAndBottom/>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3"/>
                    <a:stretch>
                      <a:fillRect/>
                    </a:stretch>
                  </pic:blipFill>
                  <pic:spPr>
                    <a:xfrm>
                      <a:off x="0" y="0"/>
                      <a:ext cx="4972050" cy="4562475"/>
                    </a:xfrm>
                    <a:prstGeom prst="rect">
                      <a:avLst/>
                    </a:prstGeom>
                  </pic:spPr>
                </pic:pic>
              </a:graphicData>
            </a:graphic>
          </wp:anchor>
        </w:drawing>
      </w:r>
      <w:r>
        <w:rPr>
          <w:rFonts w:hint="eastAsia" w:ascii="宋体" w:hAnsi="宋体"/>
          <w:b/>
          <w:bCs/>
        </w:rPr>
        <w:t>附图1</w:t>
      </w:r>
      <w:r>
        <w:rPr>
          <w:rFonts w:ascii="宋体" w:hAnsi="宋体"/>
          <w:b/>
          <w:bCs/>
        </w:rPr>
        <w:t xml:space="preserve"> </w:t>
      </w:r>
      <w:r>
        <w:rPr>
          <w:rFonts w:hint="eastAsia" w:ascii="宋体" w:hAnsi="宋体"/>
          <w:b/>
          <w:bCs/>
        </w:rPr>
        <w:t>停车分区</w:t>
      </w:r>
    </w:p>
    <w:p w14:paraId="590F99C5">
      <w:pPr>
        <w:jc w:val="center"/>
        <w:rPr>
          <w:rFonts w:ascii="宋体" w:hAnsi="宋体"/>
          <w:b/>
          <w:bCs/>
        </w:rPr>
      </w:pPr>
    </w:p>
    <w:p w14:paraId="607C7059">
      <w:pPr>
        <w:jc w:val="left"/>
        <w:rPr>
          <w:rFonts w:ascii="宋体" w:hAnsi="宋体"/>
        </w:rPr>
      </w:pPr>
      <w:r>
        <w:rPr>
          <w:rFonts w:hint="eastAsia" w:ascii="宋体" w:hAnsi="宋体"/>
          <w:b/>
          <w:bCs/>
        </w:rPr>
        <w:t>附表1</w:t>
      </w:r>
      <w:r>
        <w:rPr>
          <w:rFonts w:ascii="宋体" w:hAnsi="宋体"/>
          <w:b/>
          <w:bCs/>
        </w:rPr>
        <w:t xml:space="preserve"> </w:t>
      </w:r>
      <w:r>
        <w:rPr>
          <w:rFonts w:hint="eastAsia" w:ascii="宋体" w:hAnsi="宋体"/>
          <w:b/>
          <w:bCs/>
        </w:rPr>
        <w:t>机动车标准车位配建指标</w:t>
      </w:r>
    </w:p>
    <w:tbl>
      <w:tblPr>
        <w:tblStyle w:val="29"/>
        <w:tblW w:w="5000" w:type="pct"/>
        <w:tblInd w:w="0" w:type="dxa"/>
        <w:tblLayout w:type="autofit"/>
        <w:tblCellMar>
          <w:top w:w="0" w:type="dxa"/>
          <w:left w:w="0" w:type="dxa"/>
          <w:bottom w:w="0" w:type="dxa"/>
          <w:right w:w="0" w:type="dxa"/>
        </w:tblCellMar>
      </w:tblPr>
      <w:tblGrid>
        <w:gridCol w:w="811"/>
        <w:gridCol w:w="1527"/>
        <w:gridCol w:w="716"/>
        <w:gridCol w:w="2441"/>
        <w:gridCol w:w="2320"/>
        <w:gridCol w:w="1549"/>
      </w:tblGrid>
      <w:tr w14:paraId="70038377">
        <w:tblPrEx>
          <w:tblCellMar>
            <w:top w:w="0" w:type="dxa"/>
            <w:left w:w="0" w:type="dxa"/>
            <w:bottom w:w="0" w:type="dxa"/>
            <w:right w:w="0" w:type="dxa"/>
          </w:tblCellMar>
        </w:tblPrEx>
        <w:trPr>
          <w:trHeight w:val="275" w:hRule="atLeast"/>
        </w:trPr>
        <w:tc>
          <w:tcPr>
            <w:tcW w:w="2933" w:type="pct"/>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824F49C">
            <w:pPr>
              <w:jc w:val="left"/>
              <w:rPr>
                <w:rFonts w:ascii="宋体" w:hAnsi="宋体"/>
                <w:sz w:val="18"/>
                <w:szCs w:val="18"/>
              </w:rPr>
            </w:pPr>
            <w:r>
              <w:rPr>
                <w:rFonts w:hint="eastAsia" w:ascii="宋体" w:hAnsi="宋体"/>
                <w:sz w:val="18"/>
                <w:szCs w:val="18"/>
              </w:rPr>
              <w:t>建筑类型</w:t>
            </w:r>
          </w:p>
        </w:tc>
        <w:tc>
          <w:tcPr>
            <w:tcW w:w="1238"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C451EA8">
            <w:pPr>
              <w:jc w:val="left"/>
              <w:rPr>
                <w:rFonts w:ascii="宋体" w:hAnsi="宋体"/>
                <w:sz w:val="18"/>
                <w:szCs w:val="18"/>
              </w:rPr>
            </w:pPr>
            <w:r>
              <w:rPr>
                <w:rFonts w:hint="eastAsia" w:ascii="宋体" w:hAnsi="宋体"/>
                <w:sz w:val="18"/>
                <w:szCs w:val="18"/>
              </w:rPr>
              <w:t>计算单位</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59697FF">
            <w:pPr>
              <w:jc w:val="left"/>
              <w:rPr>
                <w:rFonts w:ascii="宋体" w:hAnsi="宋体"/>
                <w:sz w:val="18"/>
                <w:szCs w:val="18"/>
              </w:rPr>
            </w:pPr>
            <w:r>
              <w:rPr>
                <w:rFonts w:hint="eastAsia" w:ascii="宋体" w:hAnsi="宋体"/>
                <w:sz w:val="18"/>
                <w:szCs w:val="18"/>
              </w:rPr>
              <w:t>机动车指标</w:t>
            </w:r>
          </w:p>
        </w:tc>
      </w:tr>
      <w:tr w14:paraId="5533E374">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B9FFC81">
            <w:pPr>
              <w:jc w:val="left"/>
              <w:rPr>
                <w:rFonts w:ascii="宋体" w:hAnsi="宋体"/>
                <w:sz w:val="18"/>
                <w:szCs w:val="18"/>
              </w:rPr>
            </w:pPr>
            <w:r>
              <w:rPr>
                <w:rFonts w:hint="eastAsia" w:ascii="宋体" w:hAnsi="宋体"/>
                <w:sz w:val="18"/>
                <w:szCs w:val="18"/>
              </w:rPr>
              <w:t>旅馆</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4027969">
            <w:pPr>
              <w:jc w:val="left"/>
              <w:rPr>
                <w:rFonts w:ascii="宋体" w:hAnsi="宋体"/>
                <w:sz w:val="18"/>
                <w:szCs w:val="18"/>
              </w:rPr>
            </w:pPr>
            <w:r>
              <w:rPr>
                <w:rFonts w:hint="eastAsia" w:ascii="宋体" w:hAnsi="宋体"/>
                <w:sz w:val="18"/>
                <w:szCs w:val="18"/>
              </w:rPr>
              <w:t>四、五星级</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D63EADF">
            <w:pPr>
              <w:jc w:val="left"/>
              <w:rPr>
                <w:rFonts w:ascii="宋体" w:hAnsi="宋体"/>
                <w:sz w:val="18"/>
                <w:szCs w:val="18"/>
              </w:rPr>
            </w:pPr>
            <w:r>
              <w:rPr>
                <w:rFonts w:hint="eastAsia" w:ascii="宋体" w:hAnsi="宋体"/>
                <w:sz w:val="18"/>
                <w:szCs w:val="18"/>
              </w:rPr>
              <w:t>车位/间客房</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D6E4F96">
            <w:pPr>
              <w:jc w:val="left"/>
              <w:rPr>
                <w:rFonts w:ascii="宋体" w:hAnsi="宋体"/>
                <w:sz w:val="18"/>
                <w:szCs w:val="18"/>
              </w:rPr>
            </w:pPr>
            <w:r>
              <w:rPr>
                <w:rFonts w:hint="eastAsia" w:ascii="宋体" w:hAnsi="宋体"/>
                <w:sz w:val="18"/>
                <w:szCs w:val="18"/>
              </w:rPr>
              <w:t>0.6-0.7</w:t>
            </w:r>
          </w:p>
        </w:tc>
      </w:tr>
      <w:tr w14:paraId="580636F9">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F3D9736">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B914164">
            <w:pPr>
              <w:jc w:val="left"/>
              <w:rPr>
                <w:rFonts w:ascii="宋体" w:hAnsi="宋体"/>
                <w:sz w:val="18"/>
                <w:szCs w:val="18"/>
              </w:rPr>
            </w:pPr>
            <w:r>
              <w:rPr>
                <w:rFonts w:hint="eastAsia" w:ascii="宋体" w:hAnsi="宋体"/>
                <w:sz w:val="18"/>
                <w:szCs w:val="18"/>
              </w:rPr>
              <w:t>一至三星级</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43CE4BD2">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35D2910">
            <w:pPr>
              <w:jc w:val="left"/>
              <w:rPr>
                <w:rFonts w:ascii="宋体" w:hAnsi="宋体"/>
                <w:sz w:val="18"/>
                <w:szCs w:val="18"/>
              </w:rPr>
            </w:pPr>
            <w:r>
              <w:rPr>
                <w:rFonts w:hint="eastAsia" w:ascii="宋体" w:hAnsi="宋体"/>
                <w:sz w:val="18"/>
                <w:szCs w:val="18"/>
              </w:rPr>
              <w:t>0.5</w:t>
            </w:r>
          </w:p>
        </w:tc>
      </w:tr>
      <w:tr w14:paraId="48574D8E">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51AD8CD3">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FA982D6">
            <w:pPr>
              <w:jc w:val="left"/>
              <w:rPr>
                <w:rFonts w:ascii="宋体" w:hAnsi="宋体"/>
                <w:sz w:val="18"/>
                <w:szCs w:val="18"/>
              </w:rPr>
            </w:pPr>
            <w:r>
              <w:rPr>
                <w:rFonts w:hint="eastAsia" w:ascii="宋体" w:hAnsi="宋体"/>
                <w:sz w:val="18"/>
                <w:szCs w:val="18"/>
              </w:rPr>
              <w:t>一般旅馆</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62FE0834">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6296FC1">
            <w:pPr>
              <w:jc w:val="left"/>
              <w:rPr>
                <w:rFonts w:ascii="宋体" w:hAnsi="宋体"/>
                <w:sz w:val="18"/>
                <w:szCs w:val="18"/>
              </w:rPr>
            </w:pPr>
            <w:r>
              <w:rPr>
                <w:rFonts w:hint="eastAsia" w:ascii="宋体" w:hAnsi="宋体"/>
                <w:sz w:val="18"/>
                <w:szCs w:val="18"/>
              </w:rPr>
              <w:t>0.3</w:t>
            </w:r>
          </w:p>
        </w:tc>
      </w:tr>
      <w:tr w14:paraId="751FB811">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3847AAC">
            <w:pPr>
              <w:jc w:val="left"/>
              <w:rPr>
                <w:rFonts w:ascii="宋体" w:hAnsi="宋体"/>
                <w:sz w:val="18"/>
                <w:szCs w:val="18"/>
              </w:rPr>
            </w:pPr>
            <w:r>
              <w:rPr>
                <w:rFonts w:hint="eastAsia" w:ascii="宋体" w:hAnsi="宋体"/>
                <w:sz w:val="18"/>
                <w:szCs w:val="18"/>
              </w:rPr>
              <w:t>办公</w:t>
            </w:r>
          </w:p>
        </w:tc>
        <w:tc>
          <w:tcPr>
            <w:tcW w:w="2500" w:type="pct"/>
            <w:gridSpan w:val="3"/>
            <w:tcBorders>
              <w:top w:val="single" w:color="000000" w:sz="4" w:space="0"/>
              <w:left w:val="single" w:color="000000" w:sz="4" w:space="0"/>
              <w:bottom w:val="single" w:color="auto" w:sz="4" w:space="0"/>
              <w:right w:val="single" w:color="000000" w:sz="4" w:space="0"/>
            </w:tcBorders>
            <w:shd w:val="clear" w:color="auto" w:fill="F2F2F2"/>
            <w:tcMar>
              <w:top w:w="3" w:type="dxa"/>
              <w:left w:w="3" w:type="dxa"/>
              <w:bottom w:w="0" w:type="dxa"/>
              <w:right w:w="3" w:type="dxa"/>
            </w:tcMar>
            <w:vAlign w:val="center"/>
          </w:tcPr>
          <w:p w14:paraId="17C089CD">
            <w:pPr>
              <w:jc w:val="left"/>
              <w:rPr>
                <w:rFonts w:ascii="宋体" w:hAnsi="宋体"/>
                <w:sz w:val="18"/>
                <w:szCs w:val="18"/>
              </w:rPr>
            </w:pPr>
            <w:r>
              <w:rPr>
                <w:rFonts w:hint="eastAsia" w:ascii="宋体" w:hAnsi="宋体"/>
                <w:sz w:val="18"/>
                <w:szCs w:val="18"/>
              </w:rPr>
              <w:t>商务办公</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4BD2615">
            <w:pPr>
              <w:jc w:val="left"/>
              <w:rPr>
                <w:rFonts w:ascii="宋体" w:hAnsi="宋体"/>
                <w:sz w:val="18"/>
                <w:szCs w:val="18"/>
              </w:rPr>
            </w:pPr>
            <w:r>
              <w:rPr>
                <w:rFonts w:hint="eastAsia" w:ascii="宋体" w:hAnsi="宋体"/>
                <w:sz w:val="18"/>
                <w:szCs w:val="18"/>
              </w:rPr>
              <w:t>车位/100㎡建筑面积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28F3468">
            <w:pPr>
              <w:jc w:val="left"/>
              <w:rPr>
                <w:rFonts w:ascii="宋体" w:hAnsi="宋体"/>
                <w:sz w:val="18"/>
                <w:szCs w:val="18"/>
              </w:rPr>
            </w:pPr>
            <w:r>
              <w:rPr>
                <w:rFonts w:hint="eastAsia" w:ascii="宋体" w:hAnsi="宋体"/>
                <w:sz w:val="18"/>
                <w:szCs w:val="18"/>
              </w:rPr>
              <w:t>1</w:t>
            </w:r>
            <w:r>
              <w:rPr>
                <w:rFonts w:ascii="宋体" w:hAnsi="宋体"/>
                <w:sz w:val="18"/>
                <w:szCs w:val="18"/>
              </w:rPr>
              <w:t>.0</w:t>
            </w:r>
          </w:p>
        </w:tc>
      </w:tr>
      <w:tr w14:paraId="09D05C8E">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auto" w:sz="4" w:space="0"/>
            </w:tcBorders>
            <w:vAlign w:val="center"/>
          </w:tcPr>
          <w:p w14:paraId="7C567FA2">
            <w:pPr>
              <w:jc w:val="left"/>
              <w:rPr>
                <w:rFonts w:ascii="宋体" w:hAnsi="宋体"/>
                <w:sz w:val="18"/>
                <w:szCs w:val="18"/>
              </w:rPr>
            </w:pPr>
          </w:p>
        </w:tc>
        <w:tc>
          <w:tcPr>
            <w:tcW w:w="1197" w:type="pct"/>
            <w:gridSpan w:val="2"/>
            <w:vMerge w:val="restart"/>
            <w:tcBorders>
              <w:top w:val="single" w:color="auto" w:sz="4" w:space="0"/>
              <w:left w:val="single" w:color="auto" w:sz="4" w:space="0"/>
              <w:bottom w:val="single" w:color="auto" w:sz="4" w:space="0"/>
              <w:right w:val="single" w:color="auto" w:sz="4" w:space="0"/>
            </w:tcBorders>
            <w:shd w:val="clear" w:color="auto" w:fill="F2F2F2"/>
            <w:tcMar>
              <w:top w:w="3" w:type="dxa"/>
              <w:left w:w="3" w:type="dxa"/>
              <w:bottom w:w="0" w:type="dxa"/>
              <w:right w:w="3" w:type="dxa"/>
            </w:tcMar>
            <w:vAlign w:val="center"/>
          </w:tcPr>
          <w:p w14:paraId="576CA01B">
            <w:pPr>
              <w:jc w:val="left"/>
              <w:rPr>
                <w:rFonts w:ascii="宋体" w:hAnsi="宋体"/>
                <w:sz w:val="18"/>
                <w:szCs w:val="18"/>
              </w:rPr>
            </w:pPr>
            <w:r>
              <w:rPr>
                <w:rFonts w:hint="eastAsia" w:ascii="宋体" w:hAnsi="宋体"/>
                <w:sz w:val="18"/>
                <w:szCs w:val="18"/>
              </w:rPr>
              <w:t>行政办公</w:t>
            </w:r>
          </w:p>
        </w:tc>
        <w:tc>
          <w:tcPr>
            <w:tcW w:w="1303" w:type="pct"/>
            <w:tcBorders>
              <w:top w:val="single" w:color="auto" w:sz="4" w:space="0"/>
              <w:left w:val="single" w:color="auto" w:sz="4" w:space="0"/>
              <w:bottom w:val="single" w:color="auto" w:sz="4" w:space="0"/>
              <w:right w:val="single" w:color="auto" w:sz="4" w:space="0"/>
            </w:tcBorders>
            <w:shd w:val="clear" w:color="auto" w:fill="F2F2F2"/>
            <w:vAlign w:val="center"/>
          </w:tcPr>
          <w:p w14:paraId="6B141C16">
            <w:pPr>
              <w:jc w:val="left"/>
              <w:rPr>
                <w:rFonts w:ascii="宋体" w:hAnsi="宋体"/>
                <w:sz w:val="18"/>
                <w:szCs w:val="18"/>
              </w:rPr>
            </w:pPr>
            <w:r>
              <w:rPr>
                <w:rFonts w:hint="eastAsia" w:ascii="宋体" w:hAnsi="宋体"/>
                <w:sz w:val="18"/>
                <w:szCs w:val="18"/>
              </w:rPr>
              <w:t>涉外窗口</w:t>
            </w:r>
          </w:p>
        </w:tc>
        <w:tc>
          <w:tcPr>
            <w:tcW w:w="1238" w:type="pct"/>
            <w:vMerge w:val="continue"/>
            <w:tcBorders>
              <w:top w:val="single" w:color="000000" w:sz="4" w:space="0"/>
              <w:left w:val="single" w:color="auto" w:sz="4" w:space="0"/>
              <w:bottom w:val="single" w:color="000000" w:sz="4" w:space="0"/>
              <w:right w:val="single" w:color="000000" w:sz="4" w:space="0"/>
            </w:tcBorders>
            <w:vAlign w:val="center"/>
          </w:tcPr>
          <w:p w14:paraId="48A21EAA">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92665AA">
            <w:pPr>
              <w:jc w:val="left"/>
              <w:rPr>
                <w:rFonts w:ascii="宋体" w:hAnsi="宋体"/>
                <w:sz w:val="18"/>
                <w:szCs w:val="18"/>
              </w:rPr>
            </w:pPr>
            <w:r>
              <w:rPr>
                <w:rFonts w:hint="eastAsia" w:ascii="宋体" w:hAnsi="宋体"/>
                <w:sz w:val="18"/>
                <w:szCs w:val="18"/>
              </w:rPr>
              <w:t>2.0</w:t>
            </w:r>
          </w:p>
        </w:tc>
      </w:tr>
      <w:tr w14:paraId="17767E31">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auto" w:sz="4" w:space="0"/>
            </w:tcBorders>
            <w:vAlign w:val="center"/>
          </w:tcPr>
          <w:p w14:paraId="4098CB55">
            <w:pPr>
              <w:jc w:val="left"/>
              <w:rPr>
                <w:rFonts w:ascii="宋体" w:hAnsi="宋体"/>
                <w:sz w:val="18"/>
                <w:szCs w:val="18"/>
              </w:rPr>
            </w:pPr>
          </w:p>
        </w:tc>
        <w:tc>
          <w:tcPr>
            <w:tcW w:w="1197" w:type="pct"/>
            <w:gridSpan w:val="2"/>
            <w:vMerge w:val="continue"/>
            <w:tcBorders>
              <w:top w:val="single" w:color="auto" w:sz="4" w:space="0"/>
              <w:left w:val="single" w:color="auto" w:sz="4" w:space="0"/>
              <w:bottom w:val="single" w:color="auto" w:sz="4" w:space="0"/>
              <w:right w:val="single" w:color="auto" w:sz="4" w:space="0"/>
            </w:tcBorders>
            <w:shd w:val="clear" w:color="auto" w:fill="F2F2F2"/>
            <w:tcMar>
              <w:top w:w="3" w:type="dxa"/>
              <w:left w:w="3" w:type="dxa"/>
              <w:bottom w:w="0" w:type="dxa"/>
              <w:right w:w="3" w:type="dxa"/>
            </w:tcMar>
            <w:vAlign w:val="center"/>
          </w:tcPr>
          <w:p w14:paraId="19472CA6">
            <w:pPr>
              <w:jc w:val="left"/>
              <w:rPr>
                <w:rFonts w:ascii="宋体" w:hAnsi="宋体"/>
                <w:sz w:val="18"/>
                <w:szCs w:val="18"/>
              </w:rPr>
            </w:pPr>
          </w:p>
        </w:tc>
        <w:tc>
          <w:tcPr>
            <w:tcW w:w="1303" w:type="pct"/>
            <w:tcBorders>
              <w:top w:val="single" w:color="auto" w:sz="4" w:space="0"/>
              <w:left w:val="single" w:color="auto" w:sz="4" w:space="0"/>
              <w:bottom w:val="single" w:color="auto" w:sz="4" w:space="0"/>
              <w:right w:val="single" w:color="auto" w:sz="4" w:space="0"/>
            </w:tcBorders>
            <w:shd w:val="clear" w:color="auto" w:fill="F2F2F2"/>
            <w:vAlign w:val="center"/>
          </w:tcPr>
          <w:p w14:paraId="0A7A363F">
            <w:pPr>
              <w:jc w:val="left"/>
              <w:rPr>
                <w:rFonts w:ascii="宋体" w:hAnsi="宋体"/>
                <w:sz w:val="18"/>
                <w:szCs w:val="18"/>
              </w:rPr>
            </w:pPr>
            <w:r>
              <w:rPr>
                <w:rFonts w:hint="eastAsia" w:ascii="宋体" w:hAnsi="宋体"/>
                <w:sz w:val="18"/>
                <w:szCs w:val="18"/>
              </w:rPr>
              <w:t>市级</w:t>
            </w:r>
          </w:p>
        </w:tc>
        <w:tc>
          <w:tcPr>
            <w:tcW w:w="1238" w:type="pct"/>
            <w:vMerge w:val="continue"/>
            <w:tcBorders>
              <w:top w:val="single" w:color="000000" w:sz="4" w:space="0"/>
              <w:left w:val="single" w:color="auto" w:sz="4" w:space="0"/>
              <w:bottom w:val="single" w:color="000000" w:sz="4" w:space="0"/>
              <w:right w:val="single" w:color="000000" w:sz="4" w:space="0"/>
            </w:tcBorders>
            <w:vAlign w:val="center"/>
          </w:tcPr>
          <w:p w14:paraId="5B336383">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EC6903A">
            <w:pPr>
              <w:jc w:val="left"/>
              <w:rPr>
                <w:rFonts w:ascii="宋体" w:hAnsi="宋体"/>
                <w:sz w:val="18"/>
                <w:szCs w:val="18"/>
              </w:rPr>
            </w:pPr>
            <w:r>
              <w:rPr>
                <w:rFonts w:hint="eastAsia" w:ascii="宋体" w:hAnsi="宋体"/>
                <w:sz w:val="18"/>
                <w:szCs w:val="18"/>
              </w:rPr>
              <w:t>1.2-1.5</w:t>
            </w:r>
          </w:p>
        </w:tc>
      </w:tr>
      <w:tr w14:paraId="3CE738EF">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auto" w:sz="4" w:space="0"/>
            </w:tcBorders>
            <w:vAlign w:val="center"/>
          </w:tcPr>
          <w:p w14:paraId="6660907E">
            <w:pPr>
              <w:jc w:val="left"/>
              <w:rPr>
                <w:rFonts w:ascii="宋体" w:hAnsi="宋体"/>
                <w:sz w:val="18"/>
                <w:szCs w:val="18"/>
              </w:rPr>
            </w:pPr>
          </w:p>
        </w:tc>
        <w:tc>
          <w:tcPr>
            <w:tcW w:w="1197" w:type="pct"/>
            <w:gridSpan w:val="2"/>
            <w:vMerge w:val="continue"/>
            <w:tcBorders>
              <w:top w:val="single" w:color="auto" w:sz="4" w:space="0"/>
              <w:left w:val="single" w:color="auto" w:sz="4" w:space="0"/>
              <w:bottom w:val="single" w:color="auto" w:sz="4" w:space="0"/>
              <w:right w:val="single" w:color="auto" w:sz="4" w:space="0"/>
            </w:tcBorders>
            <w:shd w:val="clear" w:color="auto" w:fill="F2F2F2"/>
            <w:tcMar>
              <w:top w:w="3" w:type="dxa"/>
              <w:left w:w="3" w:type="dxa"/>
              <w:bottom w:w="0" w:type="dxa"/>
              <w:right w:w="3" w:type="dxa"/>
            </w:tcMar>
            <w:vAlign w:val="center"/>
          </w:tcPr>
          <w:p w14:paraId="308DF352">
            <w:pPr>
              <w:jc w:val="left"/>
              <w:rPr>
                <w:rFonts w:ascii="宋体" w:hAnsi="宋体"/>
                <w:sz w:val="18"/>
                <w:szCs w:val="18"/>
              </w:rPr>
            </w:pPr>
          </w:p>
        </w:tc>
        <w:tc>
          <w:tcPr>
            <w:tcW w:w="1303" w:type="pct"/>
            <w:tcBorders>
              <w:top w:val="single" w:color="auto" w:sz="4" w:space="0"/>
              <w:left w:val="single" w:color="auto" w:sz="4" w:space="0"/>
              <w:bottom w:val="single" w:color="auto" w:sz="4" w:space="0"/>
              <w:right w:val="single" w:color="auto" w:sz="4" w:space="0"/>
            </w:tcBorders>
            <w:shd w:val="clear" w:color="auto" w:fill="F2F2F2"/>
            <w:vAlign w:val="center"/>
          </w:tcPr>
          <w:p w14:paraId="139083E6">
            <w:pPr>
              <w:jc w:val="left"/>
              <w:rPr>
                <w:rFonts w:ascii="宋体" w:hAnsi="宋体"/>
                <w:sz w:val="18"/>
                <w:szCs w:val="18"/>
              </w:rPr>
            </w:pPr>
            <w:r>
              <w:rPr>
                <w:rFonts w:hint="eastAsia" w:ascii="宋体" w:hAnsi="宋体"/>
                <w:sz w:val="18"/>
                <w:szCs w:val="18"/>
              </w:rPr>
              <w:t>其他</w:t>
            </w:r>
          </w:p>
        </w:tc>
        <w:tc>
          <w:tcPr>
            <w:tcW w:w="1238" w:type="pct"/>
            <w:vMerge w:val="continue"/>
            <w:tcBorders>
              <w:top w:val="single" w:color="000000" w:sz="4" w:space="0"/>
              <w:left w:val="single" w:color="auto" w:sz="4" w:space="0"/>
              <w:bottom w:val="single" w:color="000000" w:sz="4" w:space="0"/>
              <w:right w:val="single" w:color="000000" w:sz="4" w:space="0"/>
            </w:tcBorders>
            <w:vAlign w:val="center"/>
          </w:tcPr>
          <w:p w14:paraId="706ABDB9">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475AAF8">
            <w:pPr>
              <w:jc w:val="left"/>
              <w:rPr>
                <w:rFonts w:ascii="宋体" w:hAnsi="宋体"/>
                <w:sz w:val="18"/>
                <w:szCs w:val="18"/>
              </w:rPr>
            </w:pPr>
            <w:r>
              <w:rPr>
                <w:rFonts w:ascii="宋体" w:hAnsi="宋体"/>
                <w:sz w:val="18"/>
                <w:szCs w:val="18"/>
              </w:rPr>
              <w:t>0.6</w:t>
            </w:r>
            <w:r>
              <w:rPr>
                <w:rFonts w:hint="eastAsia" w:ascii="宋体" w:hAnsi="宋体"/>
                <w:sz w:val="18"/>
                <w:szCs w:val="18"/>
              </w:rPr>
              <w:t>-1.</w:t>
            </w:r>
            <w:r>
              <w:rPr>
                <w:rFonts w:ascii="宋体" w:hAnsi="宋体"/>
                <w:sz w:val="18"/>
                <w:szCs w:val="18"/>
              </w:rPr>
              <w:t>2</w:t>
            </w:r>
          </w:p>
        </w:tc>
      </w:tr>
      <w:tr w14:paraId="2E46C16A">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38A0EAC">
            <w:pPr>
              <w:jc w:val="left"/>
              <w:rPr>
                <w:rFonts w:ascii="宋体" w:hAnsi="宋体"/>
                <w:sz w:val="18"/>
                <w:szCs w:val="18"/>
              </w:rPr>
            </w:pPr>
          </w:p>
        </w:tc>
        <w:tc>
          <w:tcPr>
            <w:tcW w:w="2500" w:type="pct"/>
            <w:gridSpan w:val="3"/>
            <w:tcBorders>
              <w:top w:val="single" w:color="auto"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214F81C">
            <w:pPr>
              <w:jc w:val="left"/>
              <w:rPr>
                <w:rFonts w:ascii="宋体" w:hAnsi="宋体"/>
                <w:sz w:val="18"/>
                <w:szCs w:val="18"/>
              </w:rPr>
            </w:pPr>
            <w:r>
              <w:rPr>
                <w:rFonts w:hint="eastAsia" w:ascii="宋体" w:hAnsi="宋体"/>
                <w:sz w:val="18"/>
                <w:szCs w:val="18"/>
              </w:rPr>
              <w:t>其它办公</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7B1D1943">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708B4B0">
            <w:pPr>
              <w:jc w:val="left"/>
              <w:rPr>
                <w:rFonts w:ascii="宋体" w:hAnsi="宋体"/>
                <w:sz w:val="18"/>
                <w:szCs w:val="18"/>
              </w:rPr>
            </w:pPr>
            <w:r>
              <w:rPr>
                <w:rFonts w:hint="eastAsia" w:ascii="宋体" w:hAnsi="宋体"/>
                <w:sz w:val="18"/>
                <w:szCs w:val="18"/>
              </w:rPr>
              <w:t>0.6</w:t>
            </w:r>
          </w:p>
        </w:tc>
      </w:tr>
      <w:tr w14:paraId="3E54B98D">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062CFB1">
            <w:pPr>
              <w:jc w:val="left"/>
              <w:rPr>
                <w:rFonts w:ascii="宋体" w:hAnsi="宋体"/>
                <w:sz w:val="18"/>
                <w:szCs w:val="18"/>
              </w:rPr>
            </w:pPr>
            <w:r>
              <w:rPr>
                <w:rFonts w:hint="eastAsia" w:ascii="宋体" w:hAnsi="宋体"/>
                <w:sz w:val="18"/>
                <w:szCs w:val="18"/>
              </w:rPr>
              <w:t>商业</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0B91269">
            <w:pPr>
              <w:jc w:val="left"/>
              <w:rPr>
                <w:rFonts w:ascii="宋体" w:hAnsi="宋体"/>
                <w:sz w:val="18"/>
                <w:szCs w:val="18"/>
              </w:rPr>
            </w:pPr>
            <w:r>
              <w:rPr>
                <w:rFonts w:hint="eastAsia" w:ascii="宋体" w:hAnsi="宋体"/>
                <w:sz w:val="18"/>
                <w:szCs w:val="18"/>
              </w:rPr>
              <w:t>零售商业、餐饮、娱乐</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6C3B657">
            <w:pPr>
              <w:jc w:val="left"/>
              <w:rPr>
                <w:rFonts w:ascii="宋体" w:hAnsi="宋体"/>
                <w:sz w:val="18"/>
                <w:szCs w:val="18"/>
              </w:rPr>
            </w:pPr>
            <w:r>
              <w:rPr>
                <w:rFonts w:hint="eastAsia" w:ascii="宋体" w:hAnsi="宋体"/>
                <w:sz w:val="18"/>
                <w:szCs w:val="18"/>
              </w:rPr>
              <w:t>车位/100㎡建筑面积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53BA6A8">
            <w:pPr>
              <w:jc w:val="left"/>
              <w:rPr>
                <w:rFonts w:ascii="宋体" w:hAnsi="宋体"/>
                <w:sz w:val="18"/>
                <w:szCs w:val="18"/>
              </w:rPr>
            </w:pPr>
            <w:r>
              <w:rPr>
                <w:rFonts w:hint="eastAsia" w:ascii="宋体" w:hAnsi="宋体"/>
                <w:sz w:val="18"/>
                <w:szCs w:val="18"/>
              </w:rPr>
              <w:t>0.8-1.0</w:t>
            </w:r>
          </w:p>
        </w:tc>
      </w:tr>
      <w:tr w14:paraId="7A838885">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5F667F1E">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576EBD0">
            <w:pPr>
              <w:jc w:val="left"/>
              <w:rPr>
                <w:rFonts w:ascii="宋体" w:hAnsi="宋体"/>
                <w:sz w:val="18"/>
                <w:szCs w:val="18"/>
              </w:rPr>
            </w:pPr>
            <w:r>
              <w:rPr>
                <w:rFonts w:hint="eastAsia" w:ascii="宋体" w:hAnsi="宋体"/>
                <w:sz w:val="18"/>
                <w:szCs w:val="18"/>
              </w:rPr>
              <w:t>批发市场</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3EFB6B99">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134D1C7">
            <w:pPr>
              <w:jc w:val="left"/>
              <w:rPr>
                <w:rFonts w:ascii="宋体" w:hAnsi="宋体"/>
                <w:sz w:val="18"/>
                <w:szCs w:val="18"/>
              </w:rPr>
            </w:pPr>
            <w:r>
              <w:rPr>
                <w:rFonts w:hint="eastAsia" w:ascii="宋体" w:hAnsi="宋体"/>
                <w:sz w:val="18"/>
                <w:szCs w:val="18"/>
              </w:rPr>
              <w:t>1.5</w:t>
            </w:r>
          </w:p>
        </w:tc>
      </w:tr>
      <w:tr w14:paraId="66BCEC83">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7E362118">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186E33F">
            <w:pPr>
              <w:jc w:val="left"/>
              <w:rPr>
                <w:rFonts w:ascii="宋体" w:hAnsi="宋体"/>
                <w:sz w:val="18"/>
                <w:szCs w:val="18"/>
              </w:rPr>
            </w:pPr>
            <w:r>
              <w:rPr>
                <w:rFonts w:hint="eastAsia" w:ascii="宋体" w:hAnsi="宋体"/>
                <w:sz w:val="18"/>
                <w:szCs w:val="18"/>
              </w:rPr>
              <w:t>生鲜超市中心店</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4C869761">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0E63F3D">
            <w:pPr>
              <w:jc w:val="left"/>
              <w:rPr>
                <w:rFonts w:ascii="宋体" w:hAnsi="宋体"/>
                <w:sz w:val="18"/>
                <w:szCs w:val="18"/>
              </w:rPr>
            </w:pPr>
            <w:r>
              <w:rPr>
                <w:rFonts w:hint="eastAsia" w:ascii="宋体" w:hAnsi="宋体"/>
                <w:sz w:val="18"/>
                <w:szCs w:val="18"/>
              </w:rPr>
              <w:t>0.8</w:t>
            </w:r>
          </w:p>
        </w:tc>
      </w:tr>
      <w:tr w14:paraId="113DD5B0">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C4EFD52">
            <w:pPr>
              <w:jc w:val="left"/>
              <w:rPr>
                <w:rFonts w:ascii="宋体" w:hAnsi="宋体"/>
                <w:sz w:val="18"/>
                <w:szCs w:val="18"/>
              </w:rPr>
            </w:pPr>
            <w:r>
              <w:rPr>
                <w:rFonts w:hint="eastAsia" w:ascii="宋体" w:hAnsi="宋体"/>
                <w:sz w:val="18"/>
                <w:szCs w:val="18"/>
              </w:rPr>
              <w:t>文化</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5191FF2">
            <w:pPr>
              <w:jc w:val="left"/>
              <w:rPr>
                <w:rFonts w:ascii="宋体" w:hAnsi="宋体"/>
                <w:sz w:val="18"/>
                <w:szCs w:val="18"/>
              </w:rPr>
            </w:pPr>
            <w:r>
              <w:rPr>
                <w:rFonts w:hint="eastAsia" w:ascii="宋体" w:hAnsi="宋体"/>
                <w:sz w:val="18"/>
                <w:szCs w:val="18"/>
              </w:rPr>
              <w:t>博物馆、图书馆</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677B9B9">
            <w:pPr>
              <w:jc w:val="left"/>
              <w:rPr>
                <w:rFonts w:ascii="宋体" w:hAnsi="宋体"/>
                <w:sz w:val="18"/>
                <w:szCs w:val="18"/>
              </w:rPr>
            </w:pPr>
            <w:r>
              <w:rPr>
                <w:rFonts w:hint="eastAsia" w:ascii="宋体" w:hAnsi="宋体"/>
                <w:sz w:val="18"/>
                <w:szCs w:val="18"/>
              </w:rPr>
              <w:t>车位/100㎡建筑面积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C93B98F">
            <w:pPr>
              <w:jc w:val="left"/>
              <w:rPr>
                <w:rFonts w:ascii="宋体" w:hAnsi="宋体"/>
                <w:sz w:val="18"/>
                <w:szCs w:val="18"/>
              </w:rPr>
            </w:pPr>
            <w:r>
              <w:rPr>
                <w:rFonts w:hint="eastAsia" w:ascii="宋体" w:hAnsi="宋体"/>
                <w:sz w:val="18"/>
                <w:szCs w:val="18"/>
              </w:rPr>
              <w:t>0.8</w:t>
            </w:r>
          </w:p>
        </w:tc>
      </w:tr>
      <w:tr w14:paraId="3F97F147">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56566D2">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5245E68">
            <w:pPr>
              <w:jc w:val="left"/>
              <w:rPr>
                <w:rFonts w:ascii="宋体" w:hAnsi="宋体"/>
                <w:sz w:val="18"/>
                <w:szCs w:val="18"/>
              </w:rPr>
            </w:pPr>
            <w:r>
              <w:rPr>
                <w:rFonts w:hint="eastAsia" w:ascii="宋体" w:hAnsi="宋体"/>
                <w:sz w:val="18"/>
                <w:szCs w:val="18"/>
              </w:rPr>
              <w:t>展览馆</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DAAD55D">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88771F7">
            <w:pPr>
              <w:jc w:val="left"/>
              <w:rPr>
                <w:rFonts w:ascii="宋体" w:hAnsi="宋体"/>
                <w:sz w:val="18"/>
                <w:szCs w:val="18"/>
              </w:rPr>
            </w:pPr>
            <w:r>
              <w:rPr>
                <w:rFonts w:hint="eastAsia" w:ascii="宋体" w:hAnsi="宋体"/>
                <w:sz w:val="18"/>
                <w:szCs w:val="18"/>
              </w:rPr>
              <w:t>1.0-1.5</w:t>
            </w:r>
          </w:p>
        </w:tc>
      </w:tr>
      <w:tr w14:paraId="418CE033">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201BA807">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57D6F41">
            <w:pPr>
              <w:jc w:val="left"/>
              <w:rPr>
                <w:rFonts w:ascii="宋体" w:hAnsi="宋体"/>
                <w:sz w:val="18"/>
                <w:szCs w:val="18"/>
              </w:rPr>
            </w:pPr>
            <w:r>
              <w:rPr>
                <w:rFonts w:hint="eastAsia" w:ascii="宋体" w:hAnsi="宋体"/>
                <w:sz w:val="18"/>
                <w:szCs w:val="18"/>
              </w:rPr>
              <w:t>电影院</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E570D30">
            <w:pPr>
              <w:jc w:val="left"/>
              <w:rPr>
                <w:rFonts w:ascii="宋体" w:hAnsi="宋体"/>
                <w:sz w:val="18"/>
                <w:szCs w:val="18"/>
              </w:rPr>
            </w:pPr>
            <w:r>
              <w:rPr>
                <w:rFonts w:hint="eastAsia" w:ascii="宋体" w:hAnsi="宋体"/>
                <w:sz w:val="18"/>
                <w:szCs w:val="18"/>
              </w:rPr>
              <w:t>车位/100 座</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52FD873">
            <w:pPr>
              <w:jc w:val="left"/>
              <w:rPr>
                <w:rFonts w:ascii="宋体" w:hAnsi="宋体"/>
                <w:sz w:val="18"/>
                <w:szCs w:val="18"/>
              </w:rPr>
            </w:pPr>
            <w:r>
              <w:rPr>
                <w:rFonts w:hint="eastAsia" w:ascii="宋体" w:hAnsi="宋体"/>
                <w:sz w:val="18"/>
                <w:szCs w:val="18"/>
              </w:rPr>
              <w:t>2</w:t>
            </w:r>
            <w:r>
              <w:rPr>
                <w:rFonts w:ascii="宋体" w:hAnsi="宋体"/>
                <w:sz w:val="18"/>
                <w:szCs w:val="18"/>
              </w:rPr>
              <w:t>.0</w:t>
            </w:r>
          </w:p>
        </w:tc>
      </w:tr>
      <w:tr w14:paraId="6C5456A5">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AE25FC8">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ACD3ED8">
            <w:pPr>
              <w:jc w:val="left"/>
              <w:rPr>
                <w:rFonts w:ascii="宋体" w:hAnsi="宋体"/>
                <w:sz w:val="18"/>
                <w:szCs w:val="18"/>
              </w:rPr>
            </w:pPr>
            <w:r>
              <w:rPr>
                <w:rFonts w:hint="eastAsia" w:ascii="宋体" w:hAnsi="宋体"/>
                <w:sz w:val="18"/>
                <w:szCs w:val="18"/>
              </w:rPr>
              <w:t>剧院</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A12BA26">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8F04909">
            <w:pPr>
              <w:jc w:val="left"/>
              <w:rPr>
                <w:rFonts w:ascii="宋体" w:hAnsi="宋体"/>
                <w:sz w:val="18"/>
                <w:szCs w:val="18"/>
              </w:rPr>
            </w:pPr>
            <w:r>
              <w:rPr>
                <w:rFonts w:hint="eastAsia" w:ascii="宋体" w:hAnsi="宋体"/>
                <w:sz w:val="18"/>
                <w:szCs w:val="18"/>
              </w:rPr>
              <w:t>3.0-4.0</w:t>
            </w:r>
          </w:p>
        </w:tc>
      </w:tr>
      <w:tr w14:paraId="2D2B9102">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A5EB098">
            <w:pPr>
              <w:jc w:val="left"/>
              <w:rPr>
                <w:rFonts w:ascii="宋体" w:hAnsi="宋体"/>
                <w:sz w:val="18"/>
                <w:szCs w:val="18"/>
              </w:rPr>
            </w:pPr>
            <w:r>
              <w:rPr>
                <w:rFonts w:hint="eastAsia" w:ascii="宋体" w:hAnsi="宋体"/>
                <w:sz w:val="18"/>
                <w:szCs w:val="18"/>
              </w:rPr>
              <w:t>医院</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6CD35B6">
            <w:pPr>
              <w:jc w:val="left"/>
              <w:rPr>
                <w:rFonts w:ascii="宋体" w:hAnsi="宋体"/>
                <w:sz w:val="18"/>
                <w:szCs w:val="18"/>
              </w:rPr>
            </w:pPr>
            <w:r>
              <w:rPr>
                <w:rFonts w:hint="eastAsia" w:ascii="宋体" w:hAnsi="宋体"/>
                <w:sz w:val="18"/>
                <w:szCs w:val="18"/>
              </w:rPr>
              <w:t>综合、专科医院</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229A25C">
            <w:pPr>
              <w:jc w:val="left"/>
              <w:rPr>
                <w:rFonts w:ascii="宋体" w:hAnsi="宋体"/>
                <w:sz w:val="18"/>
                <w:szCs w:val="18"/>
              </w:rPr>
            </w:pPr>
            <w:r>
              <w:rPr>
                <w:rFonts w:hint="eastAsia" w:ascii="宋体" w:hAnsi="宋体"/>
                <w:sz w:val="18"/>
                <w:szCs w:val="18"/>
              </w:rPr>
              <w:t>车位/100㎡建筑面积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B259E5E">
            <w:pPr>
              <w:jc w:val="left"/>
              <w:rPr>
                <w:rFonts w:ascii="宋体" w:hAnsi="宋体"/>
                <w:sz w:val="18"/>
                <w:szCs w:val="18"/>
              </w:rPr>
            </w:pPr>
            <w:r>
              <w:rPr>
                <w:rFonts w:hint="eastAsia" w:ascii="宋体" w:hAnsi="宋体"/>
                <w:sz w:val="18"/>
                <w:szCs w:val="18"/>
              </w:rPr>
              <w:t>1.5</w:t>
            </w:r>
          </w:p>
        </w:tc>
      </w:tr>
      <w:tr w14:paraId="00A02E79">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173B4AAA">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889EB1E">
            <w:pPr>
              <w:jc w:val="left"/>
              <w:rPr>
                <w:rFonts w:ascii="宋体" w:hAnsi="宋体"/>
                <w:sz w:val="18"/>
                <w:szCs w:val="18"/>
              </w:rPr>
            </w:pPr>
            <w:r>
              <w:rPr>
                <w:rFonts w:hint="eastAsia" w:ascii="宋体" w:hAnsi="宋体"/>
                <w:sz w:val="18"/>
                <w:szCs w:val="18"/>
              </w:rPr>
              <w:t>社区卫生服务中心</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3E1D9B1C">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2CC95A3">
            <w:pPr>
              <w:jc w:val="left"/>
              <w:rPr>
                <w:rFonts w:ascii="宋体" w:hAnsi="宋体"/>
                <w:sz w:val="18"/>
                <w:szCs w:val="18"/>
              </w:rPr>
            </w:pPr>
            <w:r>
              <w:rPr>
                <w:rFonts w:hint="eastAsia" w:ascii="宋体" w:hAnsi="宋体"/>
                <w:sz w:val="18"/>
                <w:szCs w:val="18"/>
              </w:rPr>
              <w:t>1</w:t>
            </w:r>
            <w:r>
              <w:rPr>
                <w:rFonts w:ascii="宋体" w:hAnsi="宋体"/>
                <w:sz w:val="18"/>
                <w:szCs w:val="18"/>
              </w:rPr>
              <w:t>.0</w:t>
            </w:r>
          </w:p>
        </w:tc>
      </w:tr>
      <w:tr w14:paraId="782CDA87">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549CF60D">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24E170B">
            <w:pPr>
              <w:jc w:val="left"/>
              <w:rPr>
                <w:rFonts w:ascii="宋体" w:hAnsi="宋体"/>
                <w:sz w:val="18"/>
                <w:szCs w:val="18"/>
              </w:rPr>
            </w:pPr>
            <w:r>
              <w:rPr>
                <w:rFonts w:hint="eastAsia" w:ascii="宋体" w:hAnsi="宋体"/>
                <w:sz w:val="18"/>
                <w:szCs w:val="18"/>
              </w:rPr>
              <w:t>疗养院、养老院</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C89609F">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F63F1E7">
            <w:pPr>
              <w:jc w:val="left"/>
              <w:rPr>
                <w:rFonts w:ascii="宋体" w:hAnsi="宋体"/>
                <w:sz w:val="18"/>
                <w:szCs w:val="18"/>
              </w:rPr>
            </w:pPr>
            <w:r>
              <w:rPr>
                <w:rFonts w:hint="eastAsia" w:ascii="宋体" w:hAnsi="宋体"/>
                <w:sz w:val="18"/>
                <w:szCs w:val="18"/>
              </w:rPr>
              <w:t>0.4</w:t>
            </w:r>
          </w:p>
        </w:tc>
      </w:tr>
      <w:tr w14:paraId="7A097A36">
        <w:tblPrEx>
          <w:tblCellMar>
            <w:top w:w="0" w:type="dxa"/>
            <w:left w:w="0" w:type="dxa"/>
            <w:bottom w:w="0" w:type="dxa"/>
            <w:right w:w="0" w:type="dxa"/>
          </w:tblCellMar>
        </w:tblPrEx>
        <w:trPr>
          <w:trHeight w:val="548"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9839D7F">
            <w:pPr>
              <w:jc w:val="left"/>
              <w:rPr>
                <w:rFonts w:ascii="宋体" w:hAnsi="宋体"/>
                <w:sz w:val="18"/>
                <w:szCs w:val="18"/>
              </w:rPr>
            </w:pPr>
            <w:r>
              <w:rPr>
                <w:rFonts w:hint="eastAsia" w:ascii="宋体" w:hAnsi="宋体"/>
                <w:sz w:val="18"/>
                <w:szCs w:val="18"/>
              </w:rPr>
              <w:t>体育</w:t>
            </w:r>
          </w:p>
        </w:tc>
        <w:tc>
          <w:tcPr>
            <w:tcW w:w="815"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9838143">
            <w:pPr>
              <w:jc w:val="left"/>
              <w:rPr>
                <w:rFonts w:ascii="宋体" w:hAnsi="宋体"/>
                <w:sz w:val="18"/>
                <w:szCs w:val="18"/>
              </w:rPr>
            </w:pPr>
            <w:r>
              <w:rPr>
                <w:rFonts w:hint="eastAsia" w:ascii="宋体" w:hAnsi="宋体"/>
                <w:sz w:val="18"/>
                <w:szCs w:val="18"/>
              </w:rPr>
              <w:t>比赛训练场馆</w:t>
            </w:r>
          </w:p>
        </w:tc>
        <w:tc>
          <w:tcPr>
            <w:tcW w:w="1685" w:type="pct"/>
            <w:gridSpan w:val="2"/>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7BA5278">
            <w:pPr>
              <w:jc w:val="left"/>
              <w:rPr>
                <w:rFonts w:ascii="宋体" w:hAnsi="宋体"/>
                <w:sz w:val="18"/>
                <w:szCs w:val="18"/>
              </w:rPr>
            </w:pPr>
            <w:r>
              <w:rPr>
                <w:rFonts w:hint="eastAsia" w:ascii="宋体" w:hAnsi="宋体"/>
                <w:sz w:val="18"/>
                <w:szCs w:val="18"/>
              </w:rPr>
              <w:t>（体育场≧15000座或体育馆≧4000座）</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E92E5F8">
            <w:pPr>
              <w:jc w:val="left"/>
              <w:rPr>
                <w:rFonts w:ascii="宋体" w:hAnsi="宋体"/>
                <w:sz w:val="18"/>
                <w:szCs w:val="18"/>
              </w:rPr>
            </w:pPr>
            <w:r>
              <w:rPr>
                <w:rFonts w:hint="eastAsia" w:ascii="宋体" w:hAnsi="宋体"/>
                <w:sz w:val="18"/>
                <w:szCs w:val="18"/>
              </w:rPr>
              <w:t>车位/100 座</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C3CF498">
            <w:pPr>
              <w:jc w:val="left"/>
              <w:rPr>
                <w:rFonts w:ascii="宋体" w:hAnsi="宋体"/>
                <w:sz w:val="18"/>
                <w:szCs w:val="18"/>
              </w:rPr>
            </w:pPr>
            <w:r>
              <w:rPr>
                <w:rFonts w:hint="eastAsia" w:ascii="宋体" w:hAnsi="宋体"/>
                <w:sz w:val="18"/>
                <w:szCs w:val="18"/>
              </w:rPr>
              <w:t>3.0-8.0</w:t>
            </w:r>
          </w:p>
        </w:tc>
      </w:tr>
      <w:tr w14:paraId="30DE8419">
        <w:tblPrEx>
          <w:tblCellMar>
            <w:top w:w="0" w:type="dxa"/>
            <w:left w:w="0" w:type="dxa"/>
            <w:bottom w:w="0" w:type="dxa"/>
            <w:right w:w="0" w:type="dxa"/>
          </w:tblCellMar>
        </w:tblPrEx>
        <w:trPr>
          <w:trHeight w:val="548"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32297536">
            <w:pPr>
              <w:jc w:val="left"/>
              <w:rPr>
                <w:rFonts w:ascii="宋体" w:hAnsi="宋体"/>
                <w:sz w:val="18"/>
                <w:szCs w:val="18"/>
              </w:rPr>
            </w:pPr>
          </w:p>
        </w:tc>
        <w:tc>
          <w:tcPr>
            <w:tcW w:w="815" w:type="pct"/>
            <w:vMerge w:val="continue"/>
            <w:tcBorders>
              <w:top w:val="single" w:color="000000" w:sz="4" w:space="0"/>
              <w:left w:val="single" w:color="000000" w:sz="4" w:space="0"/>
              <w:bottom w:val="single" w:color="000000" w:sz="4" w:space="0"/>
              <w:right w:val="single" w:color="000000" w:sz="4" w:space="0"/>
            </w:tcBorders>
            <w:vAlign w:val="center"/>
          </w:tcPr>
          <w:p w14:paraId="6F8DA219">
            <w:pPr>
              <w:jc w:val="left"/>
              <w:rPr>
                <w:rFonts w:ascii="宋体" w:hAnsi="宋体"/>
                <w:sz w:val="18"/>
                <w:szCs w:val="18"/>
              </w:rPr>
            </w:pPr>
          </w:p>
        </w:tc>
        <w:tc>
          <w:tcPr>
            <w:tcW w:w="1685" w:type="pct"/>
            <w:gridSpan w:val="2"/>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5D7E3C4">
            <w:pPr>
              <w:jc w:val="left"/>
              <w:rPr>
                <w:rFonts w:ascii="宋体" w:hAnsi="宋体"/>
                <w:sz w:val="18"/>
                <w:szCs w:val="18"/>
              </w:rPr>
            </w:pPr>
            <w:r>
              <w:rPr>
                <w:rFonts w:hint="eastAsia" w:ascii="宋体" w:hAnsi="宋体"/>
                <w:sz w:val="18"/>
                <w:szCs w:val="18"/>
              </w:rPr>
              <w:t>（体育场＜15000座或体育馆＜4000座）</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01C4995C">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27DC405">
            <w:pPr>
              <w:jc w:val="left"/>
              <w:rPr>
                <w:rFonts w:ascii="宋体" w:hAnsi="宋体"/>
                <w:sz w:val="18"/>
                <w:szCs w:val="18"/>
              </w:rPr>
            </w:pPr>
            <w:r>
              <w:rPr>
                <w:rFonts w:hint="eastAsia" w:ascii="宋体" w:hAnsi="宋体"/>
                <w:sz w:val="18"/>
                <w:szCs w:val="18"/>
              </w:rPr>
              <w:t>2.0-5.0</w:t>
            </w:r>
          </w:p>
        </w:tc>
      </w:tr>
      <w:tr w14:paraId="7D5BA40D">
        <w:tblPrEx>
          <w:tblCellMar>
            <w:top w:w="0" w:type="dxa"/>
            <w:left w:w="0" w:type="dxa"/>
            <w:bottom w:w="0" w:type="dxa"/>
            <w:right w:w="0" w:type="dxa"/>
          </w:tblCellMar>
        </w:tblPrEx>
        <w:trPr>
          <w:trHeight w:val="400"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50096E3C">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314104D">
            <w:pPr>
              <w:jc w:val="left"/>
              <w:rPr>
                <w:rFonts w:ascii="宋体" w:hAnsi="宋体"/>
                <w:sz w:val="18"/>
                <w:szCs w:val="18"/>
              </w:rPr>
            </w:pPr>
            <w:r>
              <w:rPr>
                <w:rFonts w:hint="eastAsia" w:ascii="宋体" w:hAnsi="宋体"/>
                <w:sz w:val="18"/>
                <w:szCs w:val="18"/>
              </w:rPr>
              <w:t>全民健身体育场馆</w:t>
            </w:r>
          </w:p>
        </w:tc>
        <w:tc>
          <w:tcPr>
            <w:tcW w:w="1238"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7ECE799">
            <w:pPr>
              <w:jc w:val="left"/>
              <w:rPr>
                <w:rFonts w:ascii="宋体" w:hAnsi="宋体"/>
                <w:sz w:val="18"/>
                <w:szCs w:val="18"/>
              </w:rPr>
            </w:pPr>
            <w:r>
              <w:rPr>
                <w:rFonts w:hint="eastAsia" w:ascii="宋体" w:hAnsi="宋体"/>
                <w:sz w:val="18"/>
                <w:szCs w:val="18"/>
              </w:rPr>
              <w:t>车位/100㎡建筑面积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C0C3517">
            <w:pPr>
              <w:jc w:val="left"/>
              <w:rPr>
                <w:rFonts w:ascii="宋体" w:hAnsi="宋体"/>
                <w:sz w:val="18"/>
                <w:szCs w:val="18"/>
              </w:rPr>
            </w:pPr>
            <w:r>
              <w:rPr>
                <w:rFonts w:hint="eastAsia" w:ascii="宋体" w:hAnsi="宋体"/>
                <w:sz w:val="18"/>
                <w:szCs w:val="18"/>
              </w:rPr>
              <w:t>1.5</w:t>
            </w:r>
          </w:p>
        </w:tc>
      </w:tr>
      <w:tr w14:paraId="42AC8A4B">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4DC01F0">
            <w:pPr>
              <w:jc w:val="left"/>
              <w:rPr>
                <w:rFonts w:ascii="宋体" w:hAnsi="宋体"/>
                <w:sz w:val="18"/>
                <w:szCs w:val="18"/>
              </w:rPr>
            </w:pPr>
            <w:r>
              <w:rPr>
                <w:rFonts w:hint="eastAsia" w:ascii="宋体" w:hAnsi="宋体"/>
                <w:sz w:val="18"/>
                <w:szCs w:val="18"/>
              </w:rPr>
              <w:t>住宅</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2062D8B">
            <w:pPr>
              <w:jc w:val="left"/>
              <w:rPr>
                <w:rFonts w:ascii="宋体" w:hAnsi="宋体"/>
                <w:sz w:val="18"/>
                <w:szCs w:val="18"/>
              </w:rPr>
            </w:pPr>
            <w:r>
              <w:rPr>
                <w:rFonts w:hint="eastAsia" w:ascii="宋体" w:hAnsi="宋体"/>
                <w:sz w:val="18"/>
                <w:szCs w:val="18"/>
              </w:rPr>
              <w:t>独立式住宅或建筑面积&gt;180㎡</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66197A3">
            <w:pPr>
              <w:jc w:val="left"/>
              <w:rPr>
                <w:rFonts w:ascii="宋体" w:hAnsi="宋体"/>
                <w:sz w:val="18"/>
                <w:szCs w:val="18"/>
              </w:rPr>
            </w:pPr>
            <w:r>
              <w:rPr>
                <w:rFonts w:hint="eastAsia" w:ascii="宋体" w:hAnsi="宋体"/>
                <w:sz w:val="18"/>
                <w:szCs w:val="18"/>
              </w:rPr>
              <w:t>车位/户</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E8B6E9E">
            <w:pPr>
              <w:jc w:val="left"/>
              <w:rPr>
                <w:rFonts w:ascii="宋体" w:hAnsi="宋体"/>
                <w:sz w:val="18"/>
                <w:szCs w:val="18"/>
              </w:rPr>
            </w:pPr>
            <w:r>
              <w:rPr>
                <w:rFonts w:hint="eastAsia" w:ascii="宋体" w:hAnsi="宋体"/>
                <w:sz w:val="18"/>
                <w:szCs w:val="18"/>
              </w:rPr>
              <w:t>≥2.0</w:t>
            </w:r>
          </w:p>
        </w:tc>
      </w:tr>
      <w:tr w14:paraId="35D70B6C">
        <w:tblPrEx>
          <w:tblCellMar>
            <w:top w:w="0" w:type="dxa"/>
            <w:left w:w="0" w:type="dxa"/>
            <w:bottom w:w="0" w:type="dxa"/>
            <w:right w:w="0" w:type="dxa"/>
          </w:tblCellMar>
        </w:tblPrEx>
        <w:trPr>
          <w:trHeight w:val="548"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A00C547">
            <w:pPr>
              <w:jc w:val="left"/>
              <w:rPr>
                <w:rFonts w:ascii="宋体" w:hAnsi="宋体"/>
                <w:sz w:val="18"/>
                <w:szCs w:val="18"/>
              </w:rPr>
            </w:pPr>
          </w:p>
        </w:tc>
        <w:tc>
          <w:tcPr>
            <w:tcW w:w="1197" w:type="pct"/>
            <w:gridSpan w:val="2"/>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C1BBB8A">
            <w:pPr>
              <w:jc w:val="left"/>
              <w:rPr>
                <w:rFonts w:ascii="宋体" w:hAnsi="宋体"/>
                <w:sz w:val="18"/>
                <w:szCs w:val="18"/>
              </w:rPr>
            </w:pPr>
            <w:r>
              <w:rPr>
                <w:rFonts w:hint="eastAsia" w:ascii="宋体" w:hAnsi="宋体"/>
                <w:sz w:val="18"/>
                <w:szCs w:val="18"/>
              </w:rPr>
              <w:t>普通商品房、安置房和保障性商品房</w:t>
            </w:r>
          </w:p>
        </w:tc>
        <w:tc>
          <w:tcPr>
            <w:tcW w:w="1303"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57E29E8">
            <w:pPr>
              <w:jc w:val="left"/>
              <w:rPr>
                <w:rFonts w:ascii="宋体" w:hAnsi="宋体"/>
                <w:sz w:val="18"/>
                <w:szCs w:val="18"/>
              </w:rPr>
            </w:pPr>
            <w:r>
              <w:rPr>
                <w:rFonts w:hint="eastAsia" w:ascii="宋体" w:hAnsi="宋体"/>
                <w:sz w:val="18"/>
                <w:szCs w:val="18"/>
              </w:rPr>
              <w:t>180㎡≥户建筑面积&gt;144㎡</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670F41E0">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51E7DBA">
            <w:pPr>
              <w:jc w:val="left"/>
              <w:rPr>
                <w:rFonts w:ascii="宋体" w:hAnsi="宋体"/>
                <w:sz w:val="18"/>
                <w:szCs w:val="18"/>
              </w:rPr>
            </w:pPr>
            <w:r>
              <w:rPr>
                <w:rFonts w:hint="eastAsia" w:ascii="宋体" w:hAnsi="宋体"/>
                <w:sz w:val="18"/>
                <w:szCs w:val="18"/>
              </w:rPr>
              <w:t>≥1.5</w:t>
            </w:r>
          </w:p>
        </w:tc>
      </w:tr>
      <w:tr w14:paraId="2E3446DF">
        <w:tblPrEx>
          <w:tblCellMar>
            <w:top w:w="0" w:type="dxa"/>
            <w:left w:w="0" w:type="dxa"/>
            <w:bottom w:w="0" w:type="dxa"/>
            <w:right w:w="0" w:type="dxa"/>
          </w:tblCellMar>
        </w:tblPrEx>
        <w:trPr>
          <w:trHeight w:val="548"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DA738F4">
            <w:pPr>
              <w:jc w:val="left"/>
              <w:rPr>
                <w:rFonts w:ascii="宋体" w:hAnsi="宋体"/>
                <w:sz w:val="18"/>
                <w:szCs w:val="18"/>
              </w:rPr>
            </w:pPr>
          </w:p>
        </w:tc>
        <w:tc>
          <w:tcPr>
            <w:tcW w:w="1197"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385CF936">
            <w:pPr>
              <w:jc w:val="left"/>
              <w:rPr>
                <w:rFonts w:ascii="宋体" w:hAnsi="宋体"/>
                <w:sz w:val="18"/>
                <w:szCs w:val="18"/>
              </w:rPr>
            </w:pPr>
          </w:p>
        </w:tc>
        <w:tc>
          <w:tcPr>
            <w:tcW w:w="1303"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0DEA8A6">
            <w:pPr>
              <w:jc w:val="left"/>
              <w:rPr>
                <w:rFonts w:ascii="宋体" w:hAnsi="宋体"/>
                <w:sz w:val="18"/>
                <w:szCs w:val="18"/>
              </w:rPr>
            </w:pPr>
            <w:r>
              <w:rPr>
                <w:rFonts w:hint="eastAsia" w:ascii="宋体" w:hAnsi="宋体"/>
                <w:sz w:val="18"/>
                <w:szCs w:val="18"/>
              </w:rPr>
              <w:t>144㎡≥户建筑面积&gt;70㎡</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7C22E073">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747D557">
            <w:pPr>
              <w:jc w:val="left"/>
              <w:rPr>
                <w:rFonts w:ascii="宋体" w:hAnsi="宋体"/>
                <w:sz w:val="18"/>
                <w:szCs w:val="18"/>
              </w:rPr>
            </w:pPr>
            <w:r>
              <w:rPr>
                <w:rFonts w:hint="eastAsia" w:ascii="宋体" w:hAnsi="宋体"/>
                <w:sz w:val="18"/>
                <w:szCs w:val="18"/>
              </w:rPr>
              <w:t>≥1.0</w:t>
            </w:r>
          </w:p>
        </w:tc>
      </w:tr>
      <w:tr w14:paraId="6C6E7749">
        <w:tblPrEx>
          <w:tblCellMar>
            <w:top w:w="0" w:type="dxa"/>
            <w:left w:w="0" w:type="dxa"/>
            <w:bottom w:w="0" w:type="dxa"/>
            <w:right w:w="0" w:type="dxa"/>
          </w:tblCellMar>
        </w:tblPrEx>
        <w:trPr>
          <w:trHeight w:val="500"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7024E531">
            <w:pPr>
              <w:jc w:val="left"/>
              <w:rPr>
                <w:rFonts w:ascii="宋体" w:hAnsi="宋体"/>
                <w:sz w:val="18"/>
                <w:szCs w:val="18"/>
              </w:rPr>
            </w:pPr>
          </w:p>
        </w:tc>
        <w:tc>
          <w:tcPr>
            <w:tcW w:w="1197"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3851F26F">
            <w:pPr>
              <w:jc w:val="left"/>
              <w:rPr>
                <w:rFonts w:ascii="宋体" w:hAnsi="宋体"/>
                <w:sz w:val="18"/>
                <w:szCs w:val="18"/>
              </w:rPr>
            </w:pPr>
          </w:p>
        </w:tc>
        <w:tc>
          <w:tcPr>
            <w:tcW w:w="1303"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BE8D3BE">
            <w:pPr>
              <w:jc w:val="left"/>
              <w:rPr>
                <w:rFonts w:ascii="宋体" w:hAnsi="宋体"/>
                <w:sz w:val="18"/>
                <w:szCs w:val="18"/>
              </w:rPr>
            </w:pPr>
            <w:r>
              <w:rPr>
                <w:rFonts w:hint="eastAsia" w:ascii="宋体" w:hAnsi="宋体"/>
                <w:sz w:val="18"/>
                <w:szCs w:val="18"/>
              </w:rPr>
              <w:t>户建筑面积≤70㎡</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6429ECA2">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E5ACDCB">
            <w:pPr>
              <w:jc w:val="left"/>
              <w:rPr>
                <w:rFonts w:ascii="宋体" w:hAnsi="宋体"/>
                <w:sz w:val="18"/>
                <w:szCs w:val="18"/>
              </w:rPr>
            </w:pPr>
            <w:r>
              <w:rPr>
                <w:rFonts w:hint="eastAsia" w:ascii="宋体" w:hAnsi="宋体"/>
                <w:sz w:val="18"/>
                <w:szCs w:val="18"/>
              </w:rPr>
              <w:t>≥0.8</w:t>
            </w:r>
          </w:p>
        </w:tc>
      </w:tr>
      <w:tr w14:paraId="4D35714A">
        <w:tblPrEx>
          <w:tblCellMar>
            <w:top w:w="0" w:type="dxa"/>
            <w:left w:w="0" w:type="dxa"/>
            <w:bottom w:w="0" w:type="dxa"/>
            <w:right w:w="0" w:type="dxa"/>
          </w:tblCellMar>
        </w:tblPrEx>
        <w:trPr>
          <w:trHeight w:val="440"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D82BB09">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6D1096D">
            <w:pPr>
              <w:jc w:val="left"/>
              <w:rPr>
                <w:rFonts w:ascii="宋体" w:hAnsi="宋体"/>
                <w:sz w:val="18"/>
                <w:szCs w:val="18"/>
              </w:rPr>
            </w:pPr>
            <w:r>
              <w:rPr>
                <w:rFonts w:hint="eastAsia" w:ascii="宋体" w:hAnsi="宋体"/>
                <w:sz w:val="18"/>
                <w:szCs w:val="18"/>
              </w:rPr>
              <w:t>保障性租赁房、公共租赁房、外口公寓</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9B546C8">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919DEE5">
            <w:pPr>
              <w:jc w:val="left"/>
              <w:rPr>
                <w:rFonts w:ascii="宋体" w:hAnsi="宋体"/>
                <w:sz w:val="18"/>
                <w:szCs w:val="18"/>
              </w:rPr>
            </w:pPr>
            <w:r>
              <w:rPr>
                <w:rFonts w:hint="eastAsia" w:ascii="宋体" w:hAnsi="宋体"/>
                <w:sz w:val="18"/>
                <w:szCs w:val="18"/>
              </w:rPr>
              <w:t>0.5</w:t>
            </w:r>
          </w:p>
        </w:tc>
      </w:tr>
      <w:tr w14:paraId="7BB02075">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B2473E3">
            <w:pPr>
              <w:jc w:val="left"/>
              <w:rPr>
                <w:rFonts w:ascii="宋体" w:hAnsi="宋体"/>
                <w:sz w:val="18"/>
                <w:szCs w:val="18"/>
              </w:rPr>
            </w:pPr>
            <w:r>
              <w:rPr>
                <w:rFonts w:hint="eastAsia" w:ascii="宋体" w:hAnsi="宋体"/>
                <w:sz w:val="18"/>
                <w:szCs w:val="18"/>
              </w:rPr>
              <w:t>学校</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7867ECB">
            <w:pPr>
              <w:jc w:val="left"/>
              <w:rPr>
                <w:rFonts w:ascii="宋体" w:hAnsi="宋体"/>
                <w:sz w:val="18"/>
                <w:szCs w:val="18"/>
              </w:rPr>
            </w:pPr>
            <w:r>
              <w:rPr>
                <w:rFonts w:hint="eastAsia" w:ascii="宋体" w:hAnsi="宋体"/>
                <w:sz w:val="18"/>
                <w:szCs w:val="18"/>
              </w:rPr>
              <w:t>大中专院校</w:t>
            </w:r>
          </w:p>
        </w:tc>
        <w:tc>
          <w:tcPr>
            <w:tcW w:w="1238"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E1BB573">
            <w:pPr>
              <w:jc w:val="left"/>
              <w:rPr>
                <w:rFonts w:ascii="宋体" w:hAnsi="宋体"/>
                <w:sz w:val="18"/>
                <w:szCs w:val="18"/>
              </w:rPr>
            </w:pPr>
            <w:r>
              <w:rPr>
                <w:rFonts w:hint="eastAsia" w:ascii="宋体" w:hAnsi="宋体"/>
                <w:sz w:val="18"/>
                <w:szCs w:val="18"/>
              </w:rPr>
              <w:t>车位/100名学生</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6C4E82C">
            <w:pPr>
              <w:jc w:val="left"/>
              <w:rPr>
                <w:rFonts w:ascii="宋体" w:hAnsi="宋体"/>
                <w:sz w:val="18"/>
                <w:szCs w:val="18"/>
              </w:rPr>
            </w:pPr>
            <w:r>
              <w:rPr>
                <w:rFonts w:hint="eastAsia" w:ascii="宋体" w:hAnsi="宋体"/>
                <w:sz w:val="18"/>
                <w:szCs w:val="18"/>
              </w:rPr>
              <w:t>8</w:t>
            </w:r>
            <w:r>
              <w:rPr>
                <w:rFonts w:ascii="宋体" w:hAnsi="宋体"/>
                <w:sz w:val="18"/>
                <w:szCs w:val="18"/>
              </w:rPr>
              <w:t>.0</w:t>
            </w:r>
          </w:p>
        </w:tc>
      </w:tr>
      <w:tr w14:paraId="7A14708F">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6B9DA6B3">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65838A2">
            <w:pPr>
              <w:jc w:val="left"/>
              <w:rPr>
                <w:rFonts w:ascii="宋体" w:hAnsi="宋体"/>
                <w:sz w:val="18"/>
                <w:szCs w:val="18"/>
              </w:rPr>
            </w:pPr>
            <w:r>
              <w:rPr>
                <w:rFonts w:hint="eastAsia" w:ascii="宋体" w:hAnsi="宋体"/>
                <w:sz w:val="18"/>
                <w:szCs w:val="18"/>
              </w:rPr>
              <w:t>中学</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E4E66AC">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23AD800">
            <w:pPr>
              <w:jc w:val="left"/>
              <w:rPr>
                <w:rFonts w:ascii="宋体" w:hAnsi="宋体"/>
                <w:sz w:val="18"/>
                <w:szCs w:val="18"/>
              </w:rPr>
            </w:pPr>
            <w:r>
              <w:rPr>
                <w:rFonts w:hint="eastAsia" w:ascii="宋体" w:hAnsi="宋体"/>
                <w:sz w:val="18"/>
                <w:szCs w:val="18"/>
              </w:rPr>
              <w:t>4</w:t>
            </w:r>
            <w:r>
              <w:rPr>
                <w:rFonts w:ascii="宋体" w:hAnsi="宋体"/>
                <w:sz w:val="18"/>
                <w:szCs w:val="18"/>
              </w:rPr>
              <w:t>.0</w:t>
            </w:r>
          </w:p>
        </w:tc>
      </w:tr>
      <w:tr w14:paraId="0D62BAE5">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09DE6650">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FE98835">
            <w:pPr>
              <w:jc w:val="left"/>
              <w:rPr>
                <w:rFonts w:ascii="宋体" w:hAnsi="宋体"/>
                <w:sz w:val="18"/>
                <w:szCs w:val="18"/>
              </w:rPr>
            </w:pPr>
            <w:r>
              <w:rPr>
                <w:rFonts w:hint="eastAsia" w:ascii="宋体" w:hAnsi="宋体"/>
                <w:sz w:val="18"/>
                <w:szCs w:val="18"/>
              </w:rPr>
              <w:t>小学</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521C5735">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719B43A">
            <w:pPr>
              <w:jc w:val="left"/>
              <w:rPr>
                <w:rFonts w:ascii="宋体" w:hAnsi="宋体"/>
                <w:sz w:val="18"/>
                <w:szCs w:val="18"/>
              </w:rPr>
            </w:pPr>
            <w:r>
              <w:rPr>
                <w:rFonts w:hint="eastAsia" w:ascii="宋体" w:hAnsi="宋体"/>
                <w:sz w:val="18"/>
                <w:szCs w:val="18"/>
              </w:rPr>
              <w:t>2.5</w:t>
            </w:r>
          </w:p>
        </w:tc>
      </w:tr>
      <w:tr w14:paraId="4781B7E3">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77537905">
            <w:pPr>
              <w:jc w:val="left"/>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766C52C">
            <w:pPr>
              <w:jc w:val="left"/>
              <w:rPr>
                <w:rFonts w:ascii="宋体" w:hAnsi="宋体"/>
                <w:sz w:val="18"/>
                <w:szCs w:val="18"/>
              </w:rPr>
            </w:pPr>
            <w:r>
              <w:rPr>
                <w:rFonts w:hint="eastAsia" w:ascii="宋体" w:hAnsi="宋体"/>
                <w:sz w:val="18"/>
                <w:szCs w:val="18"/>
              </w:rPr>
              <w:t>幼儿园</w:t>
            </w:r>
          </w:p>
        </w:tc>
        <w:tc>
          <w:tcPr>
            <w:tcW w:w="1238" w:type="pct"/>
            <w:vMerge w:val="continue"/>
            <w:tcBorders>
              <w:top w:val="single" w:color="000000" w:sz="4" w:space="0"/>
              <w:left w:val="single" w:color="000000" w:sz="4" w:space="0"/>
              <w:bottom w:val="single" w:color="000000" w:sz="4" w:space="0"/>
              <w:right w:val="single" w:color="000000" w:sz="4" w:space="0"/>
            </w:tcBorders>
            <w:vAlign w:val="center"/>
          </w:tcPr>
          <w:p w14:paraId="15350785">
            <w:pPr>
              <w:jc w:val="left"/>
              <w:rPr>
                <w:rFonts w:ascii="宋体" w:hAnsi="宋体"/>
                <w:sz w:val="18"/>
                <w:szCs w:val="18"/>
              </w:rPr>
            </w:pP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F5FACD2">
            <w:pPr>
              <w:jc w:val="left"/>
              <w:rPr>
                <w:rFonts w:ascii="宋体" w:hAnsi="宋体"/>
                <w:sz w:val="18"/>
                <w:szCs w:val="18"/>
              </w:rPr>
            </w:pPr>
            <w:r>
              <w:rPr>
                <w:rFonts w:hint="eastAsia" w:ascii="宋体" w:hAnsi="宋体"/>
                <w:sz w:val="18"/>
                <w:szCs w:val="18"/>
              </w:rPr>
              <w:t>1.5</w:t>
            </w:r>
          </w:p>
        </w:tc>
      </w:tr>
      <w:tr w14:paraId="74D1DE2D">
        <w:tblPrEx>
          <w:tblCellMar>
            <w:top w:w="0" w:type="dxa"/>
            <w:left w:w="0" w:type="dxa"/>
            <w:bottom w:w="0" w:type="dxa"/>
            <w:right w:w="0" w:type="dxa"/>
          </w:tblCellMar>
        </w:tblPrEx>
        <w:trPr>
          <w:trHeight w:val="275" w:hRule="atLeast"/>
        </w:trPr>
        <w:tc>
          <w:tcPr>
            <w:tcW w:w="433" w:type="pct"/>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6F91C70">
            <w:pPr>
              <w:jc w:val="left"/>
              <w:rPr>
                <w:rFonts w:ascii="宋体" w:hAnsi="宋体"/>
                <w:sz w:val="18"/>
                <w:szCs w:val="18"/>
              </w:rPr>
            </w:pPr>
            <w:r>
              <w:rPr>
                <w:rFonts w:hint="eastAsia" w:ascii="宋体" w:hAnsi="宋体"/>
                <w:sz w:val="18"/>
                <w:szCs w:val="18"/>
              </w:rPr>
              <w:t>其它</w:t>
            </w: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4029DB3">
            <w:pPr>
              <w:jc w:val="left"/>
              <w:rPr>
                <w:rFonts w:ascii="宋体" w:hAnsi="宋体"/>
                <w:sz w:val="18"/>
                <w:szCs w:val="18"/>
              </w:rPr>
            </w:pPr>
            <w:r>
              <w:rPr>
                <w:rFonts w:hint="eastAsia" w:ascii="宋体" w:hAnsi="宋体"/>
                <w:sz w:val="18"/>
                <w:szCs w:val="18"/>
              </w:rPr>
              <w:t>工业项目、物流仓储</w:t>
            </w:r>
          </w:p>
        </w:tc>
        <w:tc>
          <w:tcPr>
            <w:tcW w:w="1238"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543B3C2">
            <w:pPr>
              <w:jc w:val="left"/>
              <w:rPr>
                <w:rFonts w:ascii="宋体" w:hAnsi="宋体"/>
                <w:sz w:val="18"/>
                <w:szCs w:val="18"/>
              </w:rPr>
            </w:pPr>
            <w:r>
              <w:rPr>
                <w:rFonts w:hint="eastAsia" w:ascii="宋体" w:hAnsi="宋体"/>
                <w:sz w:val="18"/>
                <w:szCs w:val="18"/>
              </w:rPr>
              <w:t>车位/100m</w:t>
            </w:r>
            <w:r>
              <w:rPr>
                <w:rFonts w:hint="eastAsia" w:ascii="宋体" w:hAnsi="宋体"/>
                <w:sz w:val="18"/>
                <w:szCs w:val="18"/>
                <w:vertAlign w:val="superscript"/>
              </w:rPr>
              <w:t>2</w:t>
            </w:r>
            <w:r>
              <w:rPr>
                <w:rFonts w:hint="eastAsia" w:ascii="宋体" w:hAnsi="宋体"/>
                <w:sz w:val="18"/>
                <w:szCs w:val="18"/>
              </w:rPr>
              <w:t>建筑面积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9488AFC">
            <w:pPr>
              <w:jc w:val="left"/>
              <w:rPr>
                <w:rFonts w:ascii="宋体" w:hAnsi="宋体"/>
                <w:sz w:val="18"/>
                <w:szCs w:val="18"/>
              </w:rPr>
            </w:pPr>
            <w:r>
              <w:rPr>
                <w:rFonts w:hint="eastAsia" w:ascii="宋体" w:hAnsi="宋体"/>
                <w:sz w:val="18"/>
                <w:szCs w:val="18"/>
              </w:rPr>
              <w:t>0.1-0.2</w:t>
            </w:r>
          </w:p>
        </w:tc>
      </w:tr>
      <w:tr w14:paraId="5ED8F88C">
        <w:tblPrEx>
          <w:tblCellMar>
            <w:top w:w="0" w:type="dxa"/>
            <w:left w:w="0" w:type="dxa"/>
            <w:bottom w:w="0" w:type="dxa"/>
            <w:right w:w="0" w:type="dxa"/>
          </w:tblCellMar>
        </w:tblPrEx>
        <w:trPr>
          <w:trHeight w:val="275" w:hRule="atLeast"/>
        </w:trPr>
        <w:tc>
          <w:tcPr>
            <w:tcW w:w="433" w:type="pct"/>
            <w:vMerge w:val="continue"/>
            <w:tcBorders>
              <w:top w:val="single" w:color="000000" w:sz="4" w:space="0"/>
              <w:left w:val="single" w:color="000000" w:sz="4" w:space="0"/>
              <w:bottom w:val="single" w:color="000000" w:sz="4" w:space="0"/>
              <w:right w:val="single" w:color="000000" w:sz="4" w:space="0"/>
            </w:tcBorders>
            <w:vAlign w:val="center"/>
          </w:tcPr>
          <w:p w14:paraId="1D49591D">
            <w:pPr>
              <w:jc w:val="center"/>
              <w:rPr>
                <w:rFonts w:ascii="宋体" w:hAnsi="宋体"/>
                <w:sz w:val="18"/>
                <w:szCs w:val="18"/>
              </w:rPr>
            </w:pPr>
          </w:p>
        </w:tc>
        <w:tc>
          <w:tcPr>
            <w:tcW w:w="2500" w:type="pct"/>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987766A">
            <w:pPr>
              <w:jc w:val="center"/>
              <w:rPr>
                <w:rFonts w:ascii="宋体" w:hAnsi="宋体"/>
                <w:sz w:val="18"/>
                <w:szCs w:val="18"/>
              </w:rPr>
            </w:pPr>
            <w:r>
              <w:rPr>
                <w:rFonts w:hint="eastAsia" w:ascii="宋体" w:hAnsi="宋体"/>
                <w:sz w:val="18"/>
                <w:szCs w:val="18"/>
              </w:rPr>
              <w:t>城市公园</w:t>
            </w:r>
          </w:p>
        </w:tc>
        <w:tc>
          <w:tcPr>
            <w:tcW w:w="1238"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A41B373">
            <w:pPr>
              <w:jc w:val="center"/>
              <w:rPr>
                <w:rFonts w:ascii="宋体" w:hAnsi="宋体"/>
                <w:sz w:val="18"/>
                <w:szCs w:val="18"/>
              </w:rPr>
            </w:pPr>
            <w:r>
              <w:rPr>
                <w:rFonts w:hint="eastAsia" w:ascii="宋体" w:hAnsi="宋体"/>
                <w:sz w:val="18"/>
                <w:szCs w:val="18"/>
              </w:rPr>
              <w:t>车位/1hm²占地面积</w:t>
            </w:r>
          </w:p>
        </w:tc>
        <w:tc>
          <w:tcPr>
            <w:tcW w:w="827" w:type="pc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B92BF06">
            <w:pPr>
              <w:jc w:val="center"/>
              <w:rPr>
                <w:rFonts w:ascii="宋体" w:hAnsi="宋体"/>
                <w:sz w:val="18"/>
                <w:szCs w:val="18"/>
              </w:rPr>
            </w:pPr>
            <w:r>
              <w:rPr>
                <w:rFonts w:hint="eastAsia" w:ascii="宋体" w:hAnsi="宋体"/>
                <w:sz w:val="18"/>
                <w:szCs w:val="18"/>
              </w:rPr>
              <w:t>3</w:t>
            </w:r>
            <w:r>
              <w:rPr>
                <w:rFonts w:ascii="宋体" w:hAnsi="宋体"/>
                <w:sz w:val="18"/>
                <w:szCs w:val="18"/>
              </w:rPr>
              <w:t>.0</w:t>
            </w:r>
          </w:p>
        </w:tc>
      </w:tr>
    </w:tbl>
    <w:p w14:paraId="73171C10">
      <w:pPr>
        <w:jc w:val="center"/>
        <w:rPr>
          <w:rFonts w:ascii="宋体" w:hAnsi="宋体"/>
          <w:b/>
          <w:bCs/>
        </w:rPr>
      </w:pPr>
    </w:p>
    <w:p w14:paraId="0CBD59F9">
      <w:pPr>
        <w:jc w:val="center"/>
        <w:rPr>
          <w:rFonts w:ascii="宋体" w:hAnsi="宋体"/>
          <w:b/>
          <w:bCs/>
        </w:rPr>
      </w:pPr>
    </w:p>
    <w:p w14:paraId="1C96CA76">
      <w:pPr>
        <w:jc w:val="center"/>
        <w:rPr>
          <w:rFonts w:ascii="宋体" w:hAnsi="宋体"/>
          <w:b/>
          <w:bCs/>
        </w:rPr>
      </w:pPr>
    </w:p>
    <w:p w14:paraId="2F64CB6D">
      <w:pPr>
        <w:jc w:val="center"/>
        <w:rPr>
          <w:rFonts w:ascii="宋体" w:hAnsi="宋体"/>
          <w:b/>
          <w:bCs/>
        </w:rPr>
      </w:pPr>
    </w:p>
    <w:p w14:paraId="26B07493">
      <w:pPr>
        <w:jc w:val="center"/>
        <w:rPr>
          <w:rFonts w:ascii="宋体" w:hAnsi="宋体"/>
        </w:rPr>
      </w:pPr>
      <w:r>
        <w:rPr>
          <w:rFonts w:hint="eastAsia" w:ascii="宋体" w:hAnsi="宋体"/>
          <w:b/>
          <w:bCs/>
        </w:rPr>
        <w:t>附表2  机动车特殊停车位配建指标</w:t>
      </w:r>
    </w:p>
    <w:tbl>
      <w:tblPr>
        <w:tblStyle w:val="29"/>
        <w:tblW w:w="7060" w:type="dxa"/>
        <w:jc w:val="center"/>
        <w:tblLayout w:type="autofit"/>
        <w:tblCellMar>
          <w:top w:w="0" w:type="dxa"/>
          <w:left w:w="0" w:type="dxa"/>
          <w:bottom w:w="0" w:type="dxa"/>
          <w:right w:w="0" w:type="dxa"/>
        </w:tblCellMar>
      </w:tblPr>
      <w:tblGrid>
        <w:gridCol w:w="800"/>
        <w:gridCol w:w="1020"/>
        <w:gridCol w:w="1700"/>
        <w:gridCol w:w="1360"/>
        <w:gridCol w:w="1000"/>
        <w:gridCol w:w="1180"/>
      </w:tblGrid>
      <w:tr w14:paraId="4D3623DA">
        <w:tblPrEx>
          <w:tblCellMar>
            <w:top w:w="0" w:type="dxa"/>
            <w:left w:w="0" w:type="dxa"/>
            <w:bottom w:w="0" w:type="dxa"/>
            <w:right w:w="0" w:type="dxa"/>
          </w:tblCellMar>
        </w:tblPrEx>
        <w:trPr>
          <w:trHeight w:val="251" w:hRule="atLeast"/>
          <w:jc w:val="center"/>
        </w:trPr>
        <w:tc>
          <w:tcPr>
            <w:tcW w:w="3520" w:type="dxa"/>
            <w:gridSpan w:val="3"/>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BA00934">
            <w:pPr>
              <w:jc w:val="center"/>
              <w:rPr>
                <w:rFonts w:ascii="宋体" w:hAnsi="宋体"/>
                <w:sz w:val="18"/>
                <w:szCs w:val="18"/>
              </w:rPr>
            </w:pPr>
            <w:r>
              <w:rPr>
                <w:rFonts w:hint="eastAsia" w:ascii="宋体" w:hAnsi="宋体"/>
                <w:sz w:val="18"/>
                <w:szCs w:val="18"/>
              </w:rPr>
              <w:t>建筑类型</w:t>
            </w:r>
          </w:p>
        </w:tc>
        <w:tc>
          <w:tcPr>
            <w:tcW w:w="136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785F8BA">
            <w:pPr>
              <w:jc w:val="center"/>
              <w:rPr>
                <w:rFonts w:ascii="宋体" w:hAnsi="宋体"/>
                <w:sz w:val="18"/>
                <w:szCs w:val="18"/>
              </w:rPr>
            </w:pPr>
            <w:r>
              <w:rPr>
                <w:rFonts w:hint="eastAsia" w:ascii="宋体" w:hAnsi="宋体"/>
                <w:sz w:val="18"/>
                <w:szCs w:val="18"/>
              </w:rPr>
              <w:t>计算单位</w:t>
            </w: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F99C8BC">
            <w:pPr>
              <w:jc w:val="center"/>
              <w:rPr>
                <w:rFonts w:ascii="宋体" w:hAnsi="宋体"/>
                <w:sz w:val="18"/>
                <w:szCs w:val="18"/>
              </w:rPr>
            </w:pPr>
            <w:r>
              <w:rPr>
                <w:rFonts w:hint="eastAsia" w:ascii="宋体" w:hAnsi="宋体"/>
                <w:sz w:val="18"/>
                <w:szCs w:val="18"/>
              </w:rPr>
              <w:t>大巴车位</w:t>
            </w: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D81E75A">
            <w:pPr>
              <w:jc w:val="center"/>
              <w:rPr>
                <w:rFonts w:ascii="宋体" w:hAnsi="宋体"/>
                <w:sz w:val="18"/>
                <w:szCs w:val="18"/>
              </w:rPr>
            </w:pPr>
            <w:r>
              <w:rPr>
                <w:rFonts w:hint="eastAsia" w:ascii="宋体" w:hAnsi="宋体"/>
                <w:sz w:val="18"/>
                <w:szCs w:val="18"/>
              </w:rPr>
              <w:t>装卸车位</w:t>
            </w:r>
          </w:p>
        </w:tc>
      </w:tr>
      <w:tr w14:paraId="5003675B">
        <w:tblPrEx>
          <w:tblCellMar>
            <w:top w:w="0" w:type="dxa"/>
            <w:left w:w="0" w:type="dxa"/>
            <w:bottom w:w="0" w:type="dxa"/>
            <w:right w:w="0" w:type="dxa"/>
          </w:tblCellMar>
        </w:tblPrEx>
        <w:trPr>
          <w:trHeight w:val="251"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7F7EB33B">
            <w:pPr>
              <w:jc w:val="center"/>
              <w:rPr>
                <w:rFonts w:ascii="宋体" w:hAnsi="宋体"/>
                <w:sz w:val="18"/>
                <w:szCs w:val="18"/>
              </w:rPr>
            </w:pPr>
            <w:r>
              <w:rPr>
                <w:rFonts w:hint="eastAsia" w:ascii="宋体" w:hAnsi="宋体"/>
                <w:sz w:val="18"/>
                <w:szCs w:val="18"/>
              </w:rPr>
              <w:t>旅馆</w:t>
            </w: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4F05ABB">
            <w:pPr>
              <w:jc w:val="center"/>
              <w:rPr>
                <w:rFonts w:ascii="宋体" w:hAnsi="宋体"/>
                <w:sz w:val="18"/>
                <w:szCs w:val="18"/>
              </w:rPr>
            </w:pPr>
            <w:r>
              <w:rPr>
                <w:rFonts w:hint="eastAsia" w:ascii="宋体" w:hAnsi="宋体"/>
                <w:sz w:val="18"/>
                <w:szCs w:val="18"/>
              </w:rPr>
              <w:t>四、五星级</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24B627F7">
            <w:pPr>
              <w:jc w:val="center"/>
              <w:rPr>
                <w:rFonts w:ascii="宋体" w:hAnsi="宋体"/>
                <w:sz w:val="18"/>
                <w:szCs w:val="18"/>
              </w:rPr>
            </w:pPr>
            <w:r>
              <w:rPr>
                <w:rFonts w:hint="eastAsia" w:ascii="宋体" w:hAnsi="宋体"/>
                <w:sz w:val="18"/>
                <w:szCs w:val="18"/>
              </w:rPr>
              <w:t>车位/100间客房</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AC8EE46">
            <w:pPr>
              <w:jc w:val="center"/>
              <w:rPr>
                <w:rFonts w:ascii="宋体" w:hAnsi="宋体"/>
                <w:sz w:val="18"/>
                <w:szCs w:val="18"/>
              </w:rPr>
            </w:pPr>
            <w:r>
              <w:rPr>
                <w:rFonts w:hint="eastAsia" w:ascii="宋体" w:hAnsi="宋体"/>
                <w:sz w:val="18"/>
                <w:szCs w:val="18"/>
              </w:rPr>
              <w:t>0.5</w:t>
            </w:r>
          </w:p>
        </w:tc>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3E87546F">
            <w:pPr>
              <w:jc w:val="center"/>
              <w:rPr>
                <w:rFonts w:ascii="宋体" w:hAnsi="宋体"/>
                <w:sz w:val="18"/>
                <w:szCs w:val="18"/>
              </w:rPr>
            </w:pPr>
            <w:r>
              <w:rPr>
                <w:rFonts w:hint="eastAsia" w:ascii="宋体" w:hAnsi="宋体"/>
                <w:sz w:val="18"/>
                <w:szCs w:val="18"/>
              </w:rPr>
              <w:t>1</w:t>
            </w:r>
            <w:r>
              <w:rPr>
                <w:rFonts w:ascii="宋体" w:hAnsi="宋体"/>
                <w:sz w:val="18"/>
                <w:szCs w:val="18"/>
              </w:rPr>
              <w:t>.0</w:t>
            </w:r>
          </w:p>
        </w:tc>
      </w:tr>
      <w:tr w14:paraId="59DCF853">
        <w:tblPrEx>
          <w:tblCellMar>
            <w:top w:w="0" w:type="dxa"/>
            <w:left w:w="0" w:type="dxa"/>
            <w:bottom w:w="0" w:type="dxa"/>
            <w:right w:w="0" w:type="dxa"/>
          </w:tblCellMar>
        </w:tblPrEx>
        <w:trPr>
          <w:trHeight w:val="2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79F480">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A2348B5">
            <w:pPr>
              <w:jc w:val="center"/>
              <w:rPr>
                <w:rFonts w:ascii="宋体" w:hAnsi="宋体"/>
                <w:sz w:val="18"/>
                <w:szCs w:val="18"/>
              </w:rPr>
            </w:pPr>
            <w:r>
              <w:rPr>
                <w:rFonts w:hint="eastAsia" w:ascii="宋体" w:hAnsi="宋体"/>
                <w:sz w:val="18"/>
                <w:szCs w:val="18"/>
              </w:rPr>
              <w:t>一至三星级</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37F9B6">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0C2C8A">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F2337F4">
            <w:pPr>
              <w:jc w:val="center"/>
              <w:rPr>
                <w:rFonts w:ascii="宋体" w:hAnsi="宋体"/>
                <w:sz w:val="18"/>
                <w:szCs w:val="18"/>
              </w:rPr>
            </w:pPr>
          </w:p>
        </w:tc>
      </w:tr>
      <w:tr w14:paraId="589D47F0">
        <w:tblPrEx>
          <w:tblCellMar>
            <w:top w:w="0" w:type="dxa"/>
            <w:left w:w="0" w:type="dxa"/>
            <w:bottom w:w="0" w:type="dxa"/>
            <w:right w:w="0" w:type="dxa"/>
          </w:tblCellMar>
        </w:tblPrEx>
        <w:trPr>
          <w:trHeight w:val="2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5DDFC64">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3F0B002B">
            <w:pPr>
              <w:jc w:val="center"/>
              <w:rPr>
                <w:rFonts w:ascii="宋体" w:hAnsi="宋体"/>
                <w:sz w:val="18"/>
                <w:szCs w:val="18"/>
              </w:rPr>
            </w:pPr>
            <w:r>
              <w:rPr>
                <w:rFonts w:hint="eastAsia" w:ascii="宋体" w:hAnsi="宋体"/>
                <w:sz w:val="18"/>
                <w:szCs w:val="18"/>
              </w:rPr>
              <w:t>一般旅馆</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F9BE3C1">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BBC202">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55D42A">
            <w:pPr>
              <w:jc w:val="center"/>
              <w:rPr>
                <w:rFonts w:ascii="宋体" w:hAnsi="宋体"/>
                <w:sz w:val="18"/>
                <w:szCs w:val="18"/>
              </w:rPr>
            </w:pPr>
          </w:p>
        </w:tc>
      </w:tr>
      <w:tr w14:paraId="2107983D">
        <w:tblPrEx>
          <w:tblCellMar>
            <w:top w:w="0" w:type="dxa"/>
            <w:left w:w="0" w:type="dxa"/>
            <w:bottom w:w="0" w:type="dxa"/>
            <w:right w:w="0" w:type="dxa"/>
          </w:tblCellMar>
        </w:tblPrEx>
        <w:trPr>
          <w:trHeight w:val="317"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B81FCAF">
            <w:pPr>
              <w:jc w:val="center"/>
              <w:rPr>
                <w:rFonts w:ascii="宋体" w:hAnsi="宋体"/>
                <w:sz w:val="18"/>
                <w:szCs w:val="18"/>
              </w:rPr>
            </w:pPr>
            <w:r>
              <w:rPr>
                <w:rFonts w:hint="eastAsia" w:ascii="宋体" w:hAnsi="宋体"/>
                <w:sz w:val="18"/>
                <w:szCs w:val="18"/>
              </w:rPr>
              <w:t>商业</w:t>
            </w: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AD88D5C">
            <w:pPr>
              <w:jc w:val="center"/>
              <w:rPr>
                <w:rFonts w:ascii="宋体" w:hAnsi="宋体"/>
                <w:sz w:val="18"/>
                <w:szCs w:val="18"/>
              </w:rPr>
            </w:pPr>
            <w:r>
              <w:rPr>
                <w:rFonts w:hint="eastAsia" w:ascii="宋体" w:hAnsi="宋体"/>
                <w:sz w:val="18"/>
                <w:szCs w:val="18"/>
              </w:rPr>
              <w:t>零售商业、餐饮、娱乐</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CB64E00">
            <w:pPr>
              <w:jc w:val="center"/>
              <w:rPr>
                <w:rFonts w:ascii="宋体" w:hAnsi="宋体"/>
                <w:sz w:val="18"/>
                <w:szCs w:val="18"/>
              </w:rPr>
            </w:pPr>
            <w:r>
              <w:rPr>
                <w:rFonts w:hint="eastAsia" w:ascii="宋体" w:hAnsi="宋体"/>
                <w:sz w:val="18"/>
                <w:szCs w:val="18"/>
              </w:rPr>
              <w:t>车位/10000 ㎡建筑面积</w:t>
            </w: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52C21C2">
            <w:pPr>
              <w:jc w:val="center"/>
              <w:rPr>
                <w:rFonts w:ascii="宋体" w:hAnsi="宋体"/>
                <w:sz w:val="18"/>
                <w:szCs w:val="18"/>
              </w:rPr>
            </w:pPr>
            <w:r>
              <w:rPr>
                <w:rFonts w:hint="eastAsia" w:ascii="宋体" w:hAnsi="宋体"/>
                <w:sz w:val="18"/>
                <w:szCs w:val="18"/>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70623143">
            <w:pPr>
              <w:jc w:val="center"/>
              <w:rPr>
                <w:rFonts w:ascii="宋体" w:hAnsi="宋体"/>
                <w:sz w:val="18"/>
                <w:szCs w:val="18"/>
              </w:rPr>
            </w:pPr>
            <w:r>
              <w:rPr>
                <w:rFonts w:hint="eastAsia" w:ascii="宋体" w:hAnsi="宋体"/>
                <w:sz w:val="18"/>
                <w:szCs w:val="18"/>
              </w:rPr>
              <w:t>1.0-2.0</w:t>
            </w:r>
          </w:p>
        </w:tc>
      </w:tr>
      <w:tr w14:paraId="73EA2946">
        <w:tblPrEx>
          <w:tblCellMar>
            <w:top w:w="0" w:type="dxa"/>
            <w:left w:w="0" w:type="dxa"/>
            <w:bottom w:w="0" w:type="dxa"/>
            <w:right w:w="0" w:type="dxa"/>
          </w:tblCellMar>
        </w:tblPrEx>
        <w:trPr>
          <w:trHeight w:val="49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2B0D8B">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AE75755">
            <w:pPr>
              <w:jc w:val="center"/>
              <w:rPr>
                <w:rFonts w:ascii="宋体" w:hAnsi="宋体"/>
                <w:sz w:val="18"/>
                <w:szCs w:val="18"/>
              </w:rPr>
            </w:pPr>
            <w:r>
              <w:rPr>
                <w:rFonts w:hint="eastAsia" w:ascii="宋体" w:hAnsi="宋体"/>
                <w:sz w:val="18"/>
                <w:szCs w:val="18"/>
              </w:rPr>
              <w:t>批发市场</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09ED96">
            <w:pPr>
              <w:jc w:val="center"/>
              <w:rPr>
                <w:rFonts w:ascii="宋体" w:hAnsi="宋体"/>
                <w:sz w:val="18"/>
                <w:szCs w:val="18"/>
              </w:rPr>
            </w:pP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2BFCA303">
            <w:pPr>
              <w:jc w:val="center"/>
              <w:rPr>
                <w:rFonts w:ascii="宋体" w:hAnsi="宋体"/>
                <w:sz w:val="18"/>
                <w:szCs w:val="18"/>
              </w:rPr>
            </w:pPr>
            <w:r>
              <w:rPr>
                <w:rFonts w:hint="eastAsia" w:ascii="宋体" w:hAnsi="宋体"/>
                <w:sz w:val="18"/>
                <w:szCs w:val="18"/>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1D9FC4A">
            <w:pPr>
              <w:jc w:val="center"/>
              <w:rPr>
                <w:rFonts w:ascii="宋体" w:hAnsi="宋体"/>
                <w:sz w:val="18"/>
                <w:szCs w:val="18"/>
              </w:rPr>
            </w:pPr>
            <w:r>
              <w:rPr>
                <w:rFonts w:hint="eastAsia" w:ascii="宋体" w:hAnsi="宋体"/>
                <w:sz w:val="18"/>
                <w:szCs w:val="18"/>
              </w:rPr>
              <w:t>根据需求研究确定</w:t>
            </w:r>
          </w:p>
        </w:tc>
      </w:tr>
      <w:tr w14:paraId="7B1A3DA9">
        <w:tblPrEx>
          <w:tblCellMar>
            <w:top w:w="0" w:type="dxa"/>
            <w:left w:w="0" w:type="dxa"/>
            <w:bottom w:w="0" w:type="dxa"/>
            <w:right w:w="0" w:type="dxa"/>
          </w:tblCellMar>
        </w:tblPrEx>
        <w:trPr>
          <w:trHeight w:val="2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8E18023">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9A949C9">
            <w:pPr>
              <w:jc w:val="center"/>
              <w:rPr>
                <w:rFonts w:ascii="宋体" w:hAnsi="宋体"/>
                <w:sz w:val="18"/>
                <w:szCs w:val="18"/>
              </w:rPr>
            </w:pPr>
            <w:r>
              <w:rPr>
                <w:rFonts w:hint="eastAsia" w:ascii="宋体" w:hAnsi="宋体"/>
                <w:sz w:val="18"/>
                <w:szCs w:val="18"/>
              </w:rPr>
              <w:t>生鲜超市中心店</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1D68E7">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429FE2">
            <w:pPr>
              <w:jc w:val="center"/>
              <w:rPr>
                <w:rFonts w:ascii="宋体" w:hAnsi="宋体"/>
                <w:sz w:val="18"/>
                <w:szCs w:val="18"/>
              </w:rPr>
            </w:pP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77400BEF">
            <w:pPr>
              <w:jc w:val="center"/>
              <w:rPr>
                <w:rFonts w:ascii="宋体" w:hAnsi="宋体"/>
                <w:sz w:val="18"/>
                <w:szCs w:val="18"/>
              </w:rPr>
            </w:pPr>
            <w:r>
              <w:rPr>
                <w:rFonts w:hint="eastAsia" w:ascii="宋体" w:hAnsi="宋体"/>
                <w:sz w:val="18"/>
                <w:szCs w:val="18"/>
              </w:rPr>
              <w:t>1</w:t>
            </w:r>
            <w:r>
              <w:rPr>
                <w:rFonts w:ascii="宋体" w:hAnsi="宋体"/>
                <w:sz w:val="18"/>
                <w:szCs w:val="18"/>
              </w:rPr>
              <w:t>.0</w:t>
            </w:r>
          </w:p>
        </w:tc>
      </w:tr>
      <w:tr w14:paraId="0574EE8E">
        <w:tblPrEx>
          <w:tblCellMar>
            <w:top w:w="0" w:type="dxa"/>
            <w:left w:w="0" w:type="dxa"/>
            <w:bottom w:w="0" w:type="dxa"/>
            <w:right w:w="0" w:type="dxa"/>
          </w:tblCellMar>
        </w:tblPrEx>
        <w:trPr>
          <w:trHeight w:val="317"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4EB5AC19">
            <w:pPr>
              <w:jc w:val="center"/>
              <w:rPr>
                <w:rFonts w:ascii="宋体" w:hAnsi="宋体"/>
                <w:sz w:val="18"/>
                <w:szCs w:val="18"/>
              </w:rPr>
            </w:pPr>
            <w:r>
              <w:rPr>
                <w:rFonts w:hint="eastAsia" w:ascii="宋体" w:hAnsi="宋体"/>
                <w:sz w:val="18"/>
                <w:szCs w:val="18"/>
              </w:rPr>
              <w:t>文化</w:t>
            </w: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4081E85">
            <w:pPr>
              <w:jc w:val="center"/>
              <w:rPr>
                <w:rFonts w:ascii="宋体" w:hAnsi="宋体"/>
                <w:sz w:val="18"/>
                <w:szCs w:val="18"/>
              </w:rPr>
            </w:pPr>
            <w:r>
              <w:rPr>
                <w:rFonts w:hint="eastAsia" w:ascii="宋体" w:hAnsi="宋体"/>
                <w:sz w:val="18"/>
                <w:szCs w:val="18"/>
              </w:rPr>
              <w:t>博物馆、图书馆</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44AC6513">
            <w:pPr>
              <w:jc w:val="center"/>
              <w:rPr>
                <w:rFonts w:ascii="宋体" w:hAnsi="宋体"/>
                <w:sz w:val="18"/>
                <w:szCs w:val="18"/>
              </w:rPr>
            </w:pPr>
            <w:r>
              <w:rPr>
                <w:rFonts w:hint="eastAsia" w:ascii="宋体" w:hAnsi="宋体"/>
                <w:sz w:val="18"/>
                <w:szCs w:val="18"/>
              </w:rPr>
              <w:t>车位/10000㎡建筑面积</w:t>
            </w: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D702073">
            <w:pPr>
              <w:jc w:val="center"/>
              <w:rPr>
                <w:rFonts w:ascii="宋体" w:hAnsi="宋体"/>
                <w:sz w:val="18"/>
                <w:szCs w:val="18"/>
              </w:rPr>
            </w:pPr>
            <w:r>
              <w:rPr>
                <w:rFonts w:hint="eastAsia" w:ascii="宋体" w:hAnsi="宋体"/>
                <w:sz w:val="18"/>
                <w:szCs w:val="18"/>
              </w:rPr>
              <w:t>2</w:t>
            </w:r>
            <w:r>
              <w:rPr>
                <w:rFonts w:ascii="宋体" w:hAnsi="宋体"/>
                <w:sz w:val="18"/>
                <w:szCs w:val="18"/>
              </w:rPr>
              <w:t>.0</w:t>
            </w:r>
          </w:p>
        </w:tc>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7354BEB3">
            <w:pPr>
              <w:jc w:val="center"/>
              <w:rPr>
                <w:rFonts w:ascii="宋体" w:hAnsi="宋体"/>
                <w:sz w:val="18"/>
                <w:szCs w:val="18"/>
              </w:rPr>
            </w:pPr>
            <w:r>
              <w:rPr>
                <w:rFonts w:hint="eastAsia" w:ascii="宋体" w:hAnsi="宋体"/>
                <w:sz w:val="18"/>
                <w:szCs w:val="18"/>
              </w:rPr>
              <w:t>1</w:t>
            </w:r>
            <w:r>
              <w:rPr>
                <w:rFonts w:ascii="宋体" w:hAnsi="宋体"/>
                <w:sz w:val="18"/>
                <w:szCs w:val="18"/>
              </w:rPr>
              <w:t>.0</w:t>
            </w:r>
          </w:p>
        </w:tc>
      </w:tr>
      <w:tr w14:paraId="6B525414">
        <w:tblPrEx>
          <w:tblCellMar>
            <w:top w:w="0" w:type="dxa"/>
            <w:left w:w="0" w:type="dxa"/>
            <w:bottom w:w="0" w:type="dxa"/>
            <w:right w:w="0" w:type="dxa"/>
          </w:tblCellMar>
        </w:tblPrEx>
        <w:trPr>
          <w:trHeight w:val="492"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C034F77">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6833FDA">
            <w:pPr>
              <w:jc w:val="center"/>
              <w:rPr>
                <w:rFonts w:ascii="宋体" w:hAnsi="宋体"/>
                <w:sz w:val="18"/>
                <w:szCs w:val="18"/>
              </w:rPr>
            </w:pPr>
            <w:r>
              <w:rPr>
                <w:rFonts w:hint="eastAsia" w:ascii="宋体" w:hAnsi="宋体"/>
                <w:sz w:val="18"/>
                <w:szCs w:val="18"/>
              </w:rPr>
              <w:t>展览馆</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FCD6AAC">
            <w:pPr>
              <w:jc w:val="center"/>
              <w:rPr>
                <w:rFonts w:ascii="宋体" w:hAnsi="宋体"/>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555B1B3">
            <w:pPr>
              <w:jc w:val="center"/>
              <w:rPr>
                <w:rFonts w:ascii="宋体" w:hAnsi="宋体"/>
                <w:sz w:val="18"/>
                <w:szCs w:val="18"/>
              </w:rPr>
            </w:pPr>
            <w:r>
              <w:rPr>
                <w:rFonts w:hint="eastAsia" w:ascii="宋体" w:hAnsi="宋体"/>
                <w:sz w:val="18"/>
                <w:szCs w:val="18"/>
              </w:rPr>
              <w:t>2</w:t>
            </w:r>
            <w:r>
              <w:rPr>
                <w:rFonts w:ascii="宋体" w:hAnsi="宋体"/>
                <w:sz w:val="18"/>
                <w:szCs w:val="18"/>
              </w:rPr>
              <w:t>.0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85F88B">
            <w:pPr>
              <w:jc w:val="center"/>
              <w:rPr>
                <w:rFonts w:ascii="宋体" w:hAnsi="宋体"/>
                <w:sz w:val="18"/>
                <w:szCs w:val="18"/>
              </w:rPr>
            </w:pPr>
          </w:p>
        </w:tc>
      </w:tr>
      <w:tr w14:paraId="60787231">
        <w:tblPrEx>
          <w:tblCellMar>
            <w:top w:w="0" w:type="dxa"/>
            <w:left w:w="0" w:type="dxa"/>
            <w:bottom w:w="0" w:type="dxa"/>
            <w:right w:w="0" w:type="dxa"/>
          </w:tblCellMar>
        </w:tblPrEx>
        <w:trPr>
          <w:trHeight w:val="2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C7792B">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21E0F865">
            <w:pPr>
              <w:jc w:val="center"/>
              <w:rPr>
                <w:rFonts w:ascii="宋体" w:hAnsi="宋体"/>
                <w:sz w:val="18"/>
                <w:szCs w:val="18"/>
              </w:rPr>
            </w:pPr>
            <w:r>
              <w:rPr>
                <w:rFonts w:hint="eastAsia" w:ascii="宋体" w:hAnsi="宋体"/>
                <w:sz w:val="18"/>
                <w:szCs w:val="18"/>
              </w:rPr>
              <w:t>电影院</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72E8628">
            <w:pPr>
              <w:jc w:val="center"/>
              <w:rPr>
                <w:rFonts w:ascii="宋体" w:hAnsi="宋体"/>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998AED5">
            <w:pPr>
              <w:jc w:val="center"/>
              <w:rPr>
                <w:rFonts w:ascii="宋体" w:hAnsi="宋体"/>
                <w:sz w:val="18"/>
                <w:szCs w:val="18"/>
              </w:rPr>
            </w:pPr>
            <w:r>
              <w:rPr>
                <w:rFonts w:hint="eastAsia" w:ascii="宋体" w:hAnsi="宋体"/>
                <w:sz w:val="18"/>
                <w:szCs w:val="18"/>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4BD23E">
            <w:pPr>
              <w:jc w:val="center"/>
              <w:rPr>
                <w:rFonts w:ascii="宋体" w:hAnsi="宋体"/>
                <w:sz w:val="18"/>
                <w:szCs w:val="18"/>
              </w:rPr>
            </w:pPr>
          </w:p>
        </w:tc>
      </w:tr>
      <w:tr w14:paraId="708FF70C">
        <w:tblPrEx>
          <w:tblCellMar>
            <w:top w:w="0" w:type="dxa"/>
            <w:left w:w="0" w:type="dxa"/>
            <w:bottom w:w="0" w:type="dxa"/>
            <w:right w:w="0" w:type="dxa"/>
          </w:tblCellMar>
        </w:tblPrEx>
        <w:trPr>
          <w:trHeight w:val="49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091F0A">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E974CB1">
            <w:pPr>
              <w:jc w:val="center"/>
              <w:rPr>
                <w:rFonts w:ascii="宋体" w:hAnsi="宋体"/>
                <w:sz w:val="18"/>
                <w:szCs w:val="18"/>
              </w:rPr>
            </w:pPr>
            <w:r>
              <w:rPr>
                <w:rFonts w:hint="eastAsia" w:ascii="宋体" w:hAnsi="宋体"/>
                <w:sz w:val="18"/>
                <w:szCs w:val="18"/>
              </w:rPr>
              <w:t>剧院</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FD5769">
            <w:pPr>
              <w:jc w:val="center"/>
              <w:rPr>
                <w:rFonts w:ascii="宋体" w:hAnsi="宋体"/>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7907278F">
            <w:pPr>
              <w:jc w:val="center"/>
              <w:rPr>
                <w:rFonts w:ascii="宋体" w:hAnsi="宋体"/>
                <w:sz w:val="18"/>
                <w:szCs w:val="18"/>
              </w:rPr>
            </w:pPr>
            <w:r>
              <w:rPr>
                <w:rFonts w:hint="eastAsia" w:ascii="宋体" w:hAnsi="宋体"/>
                <w:sz w:val="18"/>
                <w:szCs w:val="18"/>
              </w:rPr>
              <w:t>0.2车位/100 座</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04EF1C">
            <w:pPr>
              <w:jc w:val="center"/>
              <w:rPr>
                <w:rFonts w:ascii="宋体" w:hAnsi="宋体"/>
                <w:sz w:val="18"/>
                <w:szCs w:val="18"/>
              </w:rPr>
            </w:pPr>
          </w:p>
        </w:tc>
      </w:tr>
      <w:tr w14:paraId="31F56573">
        <w:tblPrEx>
          <w:tblCellMar>
            <w:top w:w="0" w:type="dxa"/>
            <w:left w:w="0" w:type="dxa"/>
            <w:bottom w:w="0" w:type="dxa"/>
            <w:right w:w="0" w:type="dxa"/>
          </w:tblCellMar>
        </w:tblPrEx>
        <w:trPr>
          <w:trHeight w:val="743"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4563992">
            <w:pPr>
              <w:jc w:val="center"/>
              <w:rPr>
                <w:rFonts w:ascii="宋体" w:hAnsi="宋体"/>
                <w:sz w:val="18"/>
                <w:szCs w:val="18"/>
              </w:rPr>
            </w:pPr>
            <w:r>
              <w:rPr>
                <w:rFonts w:hint="eastAsia" w:ascii="宋体" w:hAnsi="宋体"/>
                <w:sz w:val="18"/>
                <w:szCs w:val="18"/>
              </w:rPr>
              <w:t>体育</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3CDB40D2">
            <w:pPr>
              <w:jc w:val="center"/>
              <w:rPr>
                <w:rFonts w:ascii="宋体" w:hAnsi="宋体"/>
                <w:sz w:val="18"/>
                <w:szCs w:val="18"/>
              </w:rPr>
            </w:pPr>
            <w:r>
              <w:rPr>
                <w:rFonts w:hint="eastAsia" w:ascii="宋体" w:hAnsi="宋体"/>
                <w:sz w:val="18"/>
                <w:szCs w:val="18"/>
              </w:rPr>
              <w:t>比赛训练场馆</w:t>
            </w:r>
          </w:p>
        </w:tc>
        <w:tc>
          <w:tcPr>
            <w:tcW w:w="17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3FC306C5">
            <w:pPr>
              <w:jc w:val="center"/>
              <w:rPr>
                <w:rFonts w:ascii="宋体" w:hAnsi="宋体"/>
                <w:sz w:val="18"/>
                <w:szCs w:val="18"/>
              </w:rPr>
            </w:pPr>
            <w:r>
              <w:rPr>
                <w:rFonts w:hint="eastAsia" w:ascii="宋体" w:hAnsi="宋体"/>
                <w:sz w:val="18"/>
                <w:szCs w:val="18"/>
              </w:rPr>
              <w:t>（体育场≧15000座或体育馆≧4000座）</w:t>
            </w:r>
          </w:p>
        </w:tc>
        <w:tc>
          <w:tcPr>
            <w:tcW w:w="136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478B33EB">
            <w:pPr>
              <w:jc w:val="center"/>
              <w:rPr>
                <w:rFonts w:ascii="宋体" w:hAnsi="宋体"/>
                <w:sz w:val="18"/>
                <w:szCs w:val="18"/>
              </w:rPr>
            </w:pPr>
            <w:r>
              <w:rPr>
                <w:rFonts w:hint="eastAsia" w:ascii="宋体" w:hAnsi="宋体"/>
                <w:sz w:val="18"/>
                <w:szCs w:val="18"/>
              </w:rPr>
              <w:t>车位/10000㎡建筑面积</w:t>
            </w:r>
          </w:p>
          <w:p w14:paraId="761C8EF8">
            <w:pPr>
              <w:jc w:val="center"/>
              <w:rPr>
                <w:rFonts w:ascii="宋体" w:hAnsi="宋体"/>
                <w:sz w:val="18"/>
                <w:szCs w:val="18"/>
              </w:rPr>
            </w:pP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32F7A372">
            <w:pPr>
              <w:jc w:val="center"/>
              <w:rPr>
                <w:rFonts w:ascii="宋体" w:hAnsi="宋体"/>
                <w:sz w:val="18"/>
                <w:szCs w:val="18"/>
              </w:rPr>
            </w:pPr>
            <w:r>
              <w:rPr>
                <w:rFonts w:hint="eastAsia" w:ascii="宋体" w:hAnsi="宋体"/>
                <w:sz w:val="18"/>
                <w:szCs w:val="18"/>
              </w:rPr>
              <w:t>0.2车位/100座</w:t>
            </w:r>
          </w:p>
        </w:tc>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0158A5C">
            <w:pPr>
              <w:jc w:val="center"/>
              <w:rPr>
                <w:rFonts w:ascii="宋体" w:hAnsi="宋体"/>
                <w:sz w:val="18"/>
                <w:szCs w:val="18"/>
              </w:rPr>
            </w:pPr>
            <w:r>
              <w:rPr>
                <w:rFonts w:hint="eastAsia" w:ascii="宋体" w:hAnsi="宋体"/>
                <w:sz w:val="18"/>
                <w:szCs w:val="18"/>
              </w:rPr>
              <w:t>1</w:t>
            </w:r>
            <w:r>
              <w:rPr>
                <w:rFonts w:ascii="宋体" w:hAnsi="宋体"/>
                <w:sz w:val="18"/>
                <w:szCs w:val="18"/>
              </w:rPr>
              <w:t>.0</w:t>
            </w:r>
          </w:p>
        </w:tc>
      </w:tr>
      <w:tr w14:paraId="48469BD4">
        <w:tblPrEx>
          <w:tblCellMar>
            <w:top w:w="0" w:type="dxa"/>
            <w:left w:w="0" w:type="dxa"/>
            <w:bottom w:w="0" w:type="dxa"/>
            <w:right w:w="0" w:type="dxa"/>
          </w:tblCellMar>
        </w:tblPrEx>
        <w:trPr>
          <w:trHeight w:val="74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32E23D">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AD35B9A">
            <w:pPr>
              <w:jc w:val="center"/>
              <w:rPr>
                <w:rFonts w:ascii="宋体" w:hAnsi="宋体"/>
                <w:sz w:val="18"/>
                <w:szCs w:val="18"/>
              </w:rPr>
            </w:pPr>
          </w:p>
        </w:tc>
        <w:tc>
          <w:tcPr>
            <w:tcW w:w="17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4CB6F1B7">
            <w:pPr>
              <w:jc w:val="center"/>
              <w:rPr>
                <w:rFonts w:ascii="宋体" w:hAnsi="宋体"/>
                <w:sz w:val="18"/>
                <w:szCs w:val="18"/>
              </w:rPr>
            </w:pPr>
            <w:r>
              <w:rPr>
                <w:rFonts w:hint="eastAsia" w:ascii="宋体" w:hAnsi="宋体"/>
                <w:sz w:val="18"/>
                <w:szCs w:val="18"/>
              </w:rPr>
              <w:t>（体育场＜15000座或体育馆＜4000座）</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DD5CB9">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CCC1E1">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63D06E">
            <w:pPr>
              <w:jc w:val="center"/>
              <w:rPr>
                <w:rFonts w:ascii="宋体" w:hAnsi="宋体"/>
                <w:sz w:val="18"/>
                <w:szCs w:val="18"/>
              </w:rPr>
            </w:pPr>
          </w:p>
        </w:tc>
      </w:tr>
      <w:tr w14:paraId="7DD8CF29">
        <w:tblPrEx>
          <w:tblCellMar>
            <w:top w:w="0" w:type="dxa"/>
            <w:left w:w="0" w:type="dxa"/>
            <w:bottom w:w="0" w:type="dxa"/>
            <w:right w:w="0" w:type="dxa"/>
          </w:tblCellMar>
        </w:tblPrEx>
        <w:trPr>
          <w:trHeight w:val="251"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CA5D147">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27915A70">
            <w:pPr>
              <w:jc w:val="center"/>
              <w:rPr>
                <w:rFonts w:ascii="宋体" w:hAnsi="宋体"/>
                <w:sz w:val="18"/>
                <w:szCs w:val="18"/>
              </w:rPr>
            </w:pPr>
            <w:r>
              <w:rPr>
                <w:rFonts w:hint="eastAsia" w:ascii="宋体" w:hAnsi="宋体"/>
                <w:sz w:val="18"/>
                <w:szCs w:val="18"/>
              </w:rPr>
              <w:t>全民健身体育场馆</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88A25D">
            <w:pPr>
              <w:jc w:val="center"/>
              <w:rPr>
                <w:rFonts w:ascii="宋体" w:hAnsi="宋体"/>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B2D255C">
            <w:pPr>
              <w:jc w:val="center"/>
              <w:rPr>
                <w:rFonts w:ascii="宋体" w:hAnsi="宋体"/>
                <w:sz w:val="18"/>
                <w:szCs w:val="18"/>
              </w:rPr>
            </w:pPr>
            <w:r>
              <w:rPr>
                <w:rFonts w:hint="eastAsia" w:ascii="宋体" w:hAnsi="宋体"/>
                <w:sz w:val="18"/>
                <w:szCs w:val="18"/>
              </w:rPr>
              <w:t>-</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B865A25">
            <w:pPr>
              <w:jc w:val="center"/>
              <w:rPr>
                <w:rFonts w:ascii="宋体" w:hAnsi="宋体"/>
                <w:sz w:val="18"/>
                <w:szCs w:val="18"/>
              </w:rPr>
            </w:pPr>
          </w:p>
        </w:tc>
      </w:tr>
      <w:tr w14:paraId="2EDABC4E">
        <w:tblPrEx>
          <w:tblCellMar>
            <w:top w:w="0" w:type="dxa"/>
            <w:left w:w="0" w:type="dxa"/>
            <w:bottom w:w="0" w:type="dxa"/>
            <w:right w:w="0" w:type="dxa"/>
          </w:tblCellMar>
        </w:tblPrEx>
        <w:trPr>
          <w:trHeight w:val="497" w:hRule="atLeast"/>
          <w:jc w:val="center"/>
        </w:trPr>
        <w:tc>
          <w:tcPr>
            <w:tcW w:w="800" w:type="dxa"/>
            <w:vMerge w:val="restart"/>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46F39E5">
            <w:pPr>
              <w:jc w:val="center"/>
              <w:rPr>
                <w:rFonts w:ascii="宋体" w:hAnsi="宋体"/>
                <w:sz w:val="18"/>
                <w:szCs w:val="18"/>
              </w:rPr>
            </w:pPr>
            <w:r>
              <w:rPr>
                <w:rFonts w:hint="eastAsia" w:ascii="宋体" w:hAnsi="宋体"/>
                <w:sz w:val="18"/>
                <w:szCs w:val="18"/>
              </w:rPr>
              <w:t>其它</w:t>
            </w: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24149685">
            <w:pPr>
              <w:jc w:val="center"/>
              <w:rPr>
                <w:rFonts w:ascii="宋体" w:hAnsi="宋体"/>
                <w:sz w:val="18"/>
                <w:szCs w:val="18"/>
              </w:rPr>
            </w:pPr>
            <w:r>
              <w:rPr>
                <w:rFonts w:hint="eastAsia" w:ascii="宋体" w:hAnsi="宋体"/>
                <w:sz w:val="18"/>
                <w:szCs w:val="18"/>
              </w:rPr>
              <w:t>城市公园</w:t>
            </w:r>
          </w:p>
        </w:tc>
        <w:tc>
          <w:tcPr>
            <w:tcW w:w="136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B1C265B">
            <w:pPr>
              <w:jc w:val="center"/>
              <w:rPr>
                <w:rFonts w:ascii="宋体" w:hAnsi="宋体"/>
                <w:sz w:val="18"/>
                <w:szCs w:val="18"/>
              </w:rPr>
            </w:pPr>
            <w:r>
              <w:rPr>
                <w:rFonts w:hint="eastAsia" w:ascii="宋体" w:hAnsi="宋体"/>
                <w:sz w:val="18"/>
                <w:szCs w:val="18"/>
              </w:rPr>
              <w:t>车位/1hm² 占地面积</w:t>
            </w: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16216DEB">
            <w:pPr>
              <w:jc w:val="center"/>
              <w:rPr>
                <w:rFonts w:ascii="宋体" w:hAnsi="宋体"/>
                <w:sz w:val="18"/>
                <w:szCs w:val="18"/>
              </w:rPr>
            </w:pPr>
            <w:r>
              <w:rPr>
                <w:rFonts w:hint="eastAsia" w:ascii="宋体" w:hAnsi="宋体"/>
                <w:sz w:val="18"/>
                <w:szCs w:val="18"/>
              </w:rPr>
              <w:t>0.5</w:t>
            </w: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6A881D89">
            <w:pPr>
              <w:jc w:val="center"/>
              <w:rPr>
                <w:rFonts w:ascii="宋体" w:hAnsi="宋体"/>
                <w:sz w:val="18"/>
                <w:szCs w:val="18"/>
              </w:rPr>
            </w:pPr>
          </w:p>
        </w:tc>
      </w:tr>
      <w:tr w14:paraId="78717E06">
        <w:tblPrEx>
          <w:tblCellMar>
            <w:top w:w="0" w:type="dxa"/>
            <w:left w:w="0" w:type="dxa"/>
            <w:bottom w:w="0" w:type="dxa"/>
            <w:right w:w="0" w:type="dxa"/>
          </w:tblCellMar>
        </w:tblPrEx>
        <w:trPr>
          <w:trHeight w:val="497"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299CD6">
            <w:pPr>
              <w:jc w:val="center"/>
              <w:rPr>
                <w:rFonts w:ascii="宋体" w:hAnsi="宋体"/>
                <w:sz w:val="18"/>
                <w:szCs w:val="18"/>
              </w:rPr>
            </w:pPr>
          </w:p>
        </w:tc>
        <w:tc>
          <w:tcPr>
            <w:tcW w:w="2720" w:type="dxa"/>
            <w:gridSpan w:val="2"/>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70D11E6">
            <w:pPr>
              <w:jc w:val="center"/>
              <w:rPr>
                <w:rFonts w:ascii="宋体" w:hAnsi="宋体"/>
                <w:sz w:val="18"/>
                <w:szCs w:val="18"/>
              </w:rPr>
            </w:pPr>
            <w:r>
              <w:rPr>
                <w:rFonts w:hint="eastAsia" w:ascii="宋体" w:hAnsi="宋体"/>
                <w:sz w:val="18"/>
                <w:szCs w:val="18"/>
              </w:rPr>
              <w:t>工业项目、物流仓储</w:t>
            </w:r>
          </w:p>
        </w:tc>
        <w:tc>
          <w:tcPr>
            <w:tcW w:w="136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5754B25B">
            <w:pPr>
              <w:jc w:val="center"/>
              <w:rPr>
                <w:rFonts w:ascii="宋体" w:hAnsi="宋体"/>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0EB4F312">
            <w:pPr>
              <w:jc w:val="center"/>
              <w:rPr>
                <w:rFonts w:ascii="宋体" w:hAnsi="宋体"/>
                <w:sz w:val="18"/>
                <w:szCs w:val="18"/>
              </w:rPr>
            </w:pPr>
            <w:r>
              <w:rPr>
                <w:rFonts w:hint="eastAsia" w:ascii="宋体" w:hAnsi="宋体"/>
                <w:sz w:val="18"/>
                <w:szCs w:val="18"/>
              </w:rPr>
              <w:t>-</w:t>
            </w:r>
          </w:p>
        </w:tc>
        <w:tc>
          <w:tcPr>
            <w:tcW w:w="1180" w:type="dxa"/>
            <w:tcBorders>
              <w:top w:val="single" w:color="000000" w:sz="4" w:space="0"/>
              <w:left w:val="single" w:color="000000" w:sz="4" w:space="0"/>
              <w:bottom w:val="single" w:color="000000" w:sz="4" w:space="0"/>
              <w:right w:val="single" w:color="000000" w:sz="4" w:space="0"/>
            </w:tcBorders>
            <w:shd w:val="clear" w:color="auto" w:fill="F2F2F2"/>
            <w:tcMar>
              <w:top w:w="5" w:type="dxa"/>
              <w:left w:w="5" w:type="dxa"/>
              <w:bottom w:w="0" w:type="dxa"/>
              <w:right w:w="5" w:type="dxa"/>
            </w:tcMar>
            <w:vAlign w:val="center"/>
          </w:tcPr>
          <w:p w14:paraId="42006208">
            <w:pPr>
              <w:jc w:val="center"/>
              <w:rPr>
                <w:rFonts w:ascii="宋体" w:hAnsi="宋体"/>
                <w:sz w:val="18"/>
                <w:szCs w:val="18"/>
              </w:rPr>
            </w:pPr>
            <w:r>
              <w:rPr>
                <w:rFonts w:hint="eastAsia" w:ascii="宋体" w:hAnsi="宋体"/>
                <w:sz w:val="18"/>
                <w:szCs w:val="18"/>
              </w:rPr>
              <w:t>根据需求研究确定</w:t>
            </w:r>
          </w:p>
        </w:tc>
      </w:tr>
    </w:tbl>
    <w:p w14:paraId="6E49F719">
      <w:pPr>
        <w:jc w:val="center"/>
        <w:rPr>
          <w:rFonts w:ascii="宋体" w:hAnsi="宋体"/>
        </w:rPr>
      </w:pPr>
      <w:r>
        <w:rPr>
          <w:rFonts w:hint="eastAsia" w:ascii="宋体" w:hAnsi="宋体"/>
          <w:b/>
          <w:bCs/>
        </w:rPr>
        <w:t>附表3  非机动车标准车位配建指标</w:t>
      </w:r>
    </w:p>
    <w:tbl>
      <w:tblPr>
        <w:tblStyle w:val="29"/>
        <w:tblW w:w="7320" w:type="dxa"/>
        <w:jc w:val="center"/>
        <w:tblLayout w:type="autofit"/>
        <w:tblCellMar>
          <w:top w:w="0" w:type="dxa"/>
          <w:left w:w="0" w:type="dxa"/>
          <w:bottom w:w="0" w:type="dxa"/>
          <w:right w:w="0" w:type="dxa"/>
        </w:tblCellMar>
      </w:tblPr>
      <w:tblGrid>
        <w:gridCol w:w="783"/>
        <w:gridCol w:w="802"/>
        <w:gridCol w:w="802"/>
        <w:gridCol w:w="160"/>
        <w:gridCol w:w="1765"/>
        <w:gridCol w:w="1584"/>
        <w:gridCol w:w="1424"/>
      </w:tblGrid>
      <w:tr w14:paraId="2F58DB38">
        <w:tblPrEx>
          <w:tblCellMar>
            <w:top w:w="0" w:type="dxa"/>
            <w:left w:w="0" w:type="dxa"/>
            <w:bottom w:w="0" w:type="dxa"/>
            <w:right w:w="0" w:type="dxa"/>
          </w:tblCellMar>
        </w:tblPrEx>
        <w:trPr>
          <w:trHeight w:val="340" w:hRule="atLeast"/>
          <w:jc w:val="center"/>
        </w:trPr>
        <w:tc>
          <w:tcPr>
            <w:tcW w:w="4312" w:type="dxa"/>
            <w:gridSpan w:val="5"/>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01D729F">
            <w:pPr>
              <w:jc w:val="center"/>
              <w:rPr>
                <w:rFonts w:ascii="宋体" w:hAnsi="宋体"/>
                <w:sz w:val="18"/>
                <w:szCs w:val="18"/>
              </w:rPr>
            </w:pPr>
            <w:r>
              <w:rPr>
                <w:rFonts w:hint="eastAsia" w:ascii="宋体" w:hAnsi="宋体"/>
                <w:sz w:val="18"/>
                <w:szCs w:val="18"/>
              </w:rPr>
              <w:t>建筑类型</w:t>
            </w:r>
          </w:p>
        </w:tc>
        <w:tc>
          <w:tcPr>
            <w:tcW w:w="158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01A70BD">
            <w:pPr>
              <w:jc w:val="center"/>
              <w:rPr>
                <w:rFonts w:ascii="宋体" w:hAnsi="宋体"/>
                <w:sz w:val="18"/>
                <w:szCs w:val="18"/>
              </w:rPr>
            </w:pPr>
            <w:r>
              <w:rPr>
                <w:rFonts w:hint="eastAsia" w:ascii="宋体" w:hAnsi="宋体"/>
                <w:sz w:val="18"/>
                <w:szCs w:val="18"/>
              </w:rPr>
              <w:t>计算单位</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1DC97F1">
            <w:pPr>
              <w:jc w:val="center"/>
              <w:rPr>
                <w:rFonts w:ascii="宋体" w:hAnsi="宋体"/>
                <w:sz w:val="18"/>
                <w:szCs w:val="18"/>
              </w:rPr>
            </w:pPr>
            <w:r>
              <w:rPr>
                <w:rFonts w:hint="eastAsia" w:ascii="宋体" w:hAnsi="宋体"/>
                <w:sz w:val="18"/>
                <w:szCs w:val="18"/>
              </w:rPr>
              <w:t>非机动车指标</w:t>
            </w:r>
          </w:p>
        </w:tc>
      </w:tr>
      <w:tr w14:paraId="4D266ACB">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FACE8CE">
            <w:pPr>
              <w:jc w:val="center"/>
              <w:rPr>
                <w:rFonts w:ascii="宋体" w:hAnsi="宋体"/>
                <w:sz w:val="18"/>
                <w:szCs w:val="18"/>
              </w:rPr>
            </w:pPr>
            <w:r>
              <w:rPr>
                <w:rFonts w:hint="eastAsia" w:ascii="宋体" w:hAnsi="宋体"/>
                <w:sz w:val="18"/>
                <w:szCs w:val="18"/>
              </w:rPr>
              <w:t>旅馆</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74B4F86">
            <w:pPr>
              <w:jc w:val="center"/>
              <w:rPr>
                <w:rFonts w:ascii="宋体" w:hAnsi="宋体"/>
                <w:sz w:val="18"/>
                <w:szCs w:val="18"/>
              </w:rPr>
            </w:pPr>
            <w:r>
              <w:rPr>
                <w:rFonts w:hint="eastAsia" w:ascii="宋体" w:hAnsi="宋体"/>
                <w:sz w:val="18"/>
                <w:szCs w:val="18"/>
              </w:rPr>
              <w:t>四、五星级</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72BC10D">
            <w:pPr>
              <w:jc w:val="center"/>
              <w:rPr>
                <w:rFonts w:ascii="宋体" w:hAnsi="宋体"/>
                <w:sz w:val="18"/>
                <w:szCs w:val="18"/>
              </w:rPr>
            </w:pPr>
            <w:r>
              <w:rPr>
                <w:rFonts w:hint="eastAsia" w:ascii="宋体" w:hAnsi="宋体"/>
                <w:sz w:val="18"/>
                <w:szCs w:val="18"/>
              </w:rPr>
              <w:t>车位/间客房</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69AE07B">
            <w:pPr>
              <w:jc w:val="center"/>
              <w:rPr>
                <w:rFonts w:ascii="宋体" w:hAnsi="宋体"/>
                <w:sz w:val="18"/>
                <w:szCs w:val="18"/>
              </w:rPr>
            </w:pPr>
            <w:r>
              <w:rPr>
                <w:rFonts w:hint="eastAsia" w:ascii="宋体" w:hAnsi="宋体"/>
                <w:sz w:val="18"/>
                <w:szCs w:val="18"/>
              </w:rPr>
              <w:t>0.2</w:t>
            </w:r>
          </w:p>
        </w:tc>
      </w:tr>
      <w:tr w14:paraId="2955A225">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282D84">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F7CDBAD">
            <w:pPr>
              <w:jc w:val="center"/>
              <w:rPr>
                <w:rFonts w:ascii="宋体" w:hAnsi="宋体"/>
                <w:sz w:val="18"/>
                <w:szCs w:val="18"/>
              </w:rPr>
            </w:pPr>
            <w:r>
              <w:rPr>
                <w:rFonts w:hint="eastAsia" w:ascii="宋体" w:hAnsi="宋体"/>
                <w:sz w:val="18"/>
                <w:szCs w:val="18"/>
              </w:rPr>
              <w:t>一至三星级</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D4E47C7">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5FE0FDD">
            <w:pPr>
              <w:jc w:val="center"/>
              <w:rPr>
                <w:rFonts w:ascii="宋体" w:hAnsi="宋体"/>
                <w:sz w:val="18"/>
                <w:szCs w:val="18"/>
              </w:rPr>
            </w:pPr>
          </w:p>
        </w:tc>
      </w:tr>
      <w:tr w14:paraId="0D8FD316">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10A30D">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20F3821">
            <w:pPr>
              <w:jc w:val="center"/>
              <w:rPr>
                <w:rFonts w:ascii="宋体" w:hAnsi="宋体"/>
                <w:sz w:val="18"/>
                <w:szCs w:val="18"/>
              </w:rPr>
            </w:pPr>
            <w:r>
              <w:rPr>
                <w:rFonts w:hint="eastAsia" w:ascii="宋体" w:hAnsi="宋体"/>
                <w:sz w:val="18"/>
                <w:szCs w:val="18"/>
              </w:rPr>
              <w:t>一般旅馆</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D2B949">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3337E92">
            <w:pPr>
              <w:jc w:val="center"/>
              <w:rPr>
                <w:rFonts w:ascii="宋体" w:hAnsi="宋体"/>
                <w:sz w:val="18"/>
                <w:szCs w:val="18"/>
              </w:rPr>
            </w:pPr>
          </w:p>
        </w:tc>
      </w:tr>
      <w:tr w14:paraId="5376CB82">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right w:val="single" w:color="000000" w:sz="4" w:space="0"/>
            </w:tcBorders>
            <w:shd w:val="clear" w:color="auto" w:fill="F2F2F2"/>
            <w:tcMar>
              <w:top w:w="3" w:type="dxa"/>
              <w:left w:w="3" w:type="dxa"/>
              <w:bottom w:w="0" w:type="dxa"/>
              <w:right w:w="3" w:type="dxa"/>
            </w:tcMar>
            <w:vAlign w:val="center"/>
          </w:tcPr>
          <w:p w14:paraId="4AB19A3D">
            <w:pPr>
              <w:jc w:val="center"/>
              <w:rPr>
                <w:rFonts w:ascii="宋体" w:hAnsi="宋体"/>
                <w:sz w:val="18"/>
                <w:szCs w:val="18"/>
              </w:rPr>
            </w:pPr>
            <w:r>
              <w:rPr>
                <w:rFonts w:hint="eastAsia" w:ascii="宋体" w:hAnsi="宋体"/>
                <w:sz w:val="18"/>
                <w:szCs w:val="18"/>
              </w:rPr>
              <w:t>办公</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F8646E6">
            <w:pPr>
              <w:jc w:val="center"/>
              <w:rPr>
                <w:rFonts w:ascii="宋体" w:hAnsi="宋体"/>
                <w:sz w:val="18"/>
                <w:szCs w:val="18"/>
              </w:rPr>
            </w:pPr>
            <w:r>
              <w:rPr>
                <w:rFonts w:hint="eastAsia" w:ascii="宋体" w:hAnsi="宋体"/>
                <w:sz w:val="18"/>
                <w:szCs w:val="18"/>
              </w:rPr>
              <w:t>商务办公</w:t>
            </w:r>
          </w:p>
        </w:tc>
        <w:tc>
          <w:tcPr>
            <w:tcW w:w="1584" w:type="dxa"/>
            <w:vMerge w:val="restart"/>
            <w:tcBorders>
              <w:top w:val="single" w:color="000000" w:sz="4" w:space="0"/>
              <w:left w:val="single" w:color="000000" w:sz="4" w:space="0"/>
              <w:right w:val="single" w:color="000000" w:sz="4" w:space="0"/>
            </w:tcBorders>
            <w:shd w:val="clear" w:color="auto" w:fill="F2F2F2"/>
            <w:tcMar>
              <w:top w:w="3" w:type="dxa"/>
              <w:left w:w="3" w:type="dxa"/>
              <w:bottom w:w="0" w:type="dxa"/>
              <w:right w:w="3" w:type="dxa"/>
            </w:tcMar>
            <w:vAlign w:val="center"/>
          </w:tcPr>
          <w:p w14:paraId="241EFB47">
            <w:pPr>
              <w:jc w:val="center"/>
              <w:rPr>
                <w:rFonts w:ascii="宋体" w:hAnsi="宋体"/>
                <w:sz w:val="18"/>
                <w:szCs w:val="18"/>
              </w:rPr>
            </w:pPr>
            <w:r>
              <w:rPr>
                <w:rFonts w:hint="eastAsia" w:ascii="宋体" w:hAnsi="宋体"/>
                <w:sz w:val="18"/>
                <w:szCs w:val="18"/>
              </w:rPr>
              <w:t>车位/100 ㎡建筑面积</w:t>
            </w:r>
          </w:p>
        </w:tc>
        <w:tc>
          <w:tcPr>
            <w:tcW w:w="1424" w:type="dxa"/>
            <w:vMerge w:val="restart"/>
            <w:tcBorders>
              <w:top w:val="single" w:color="000000" w:sz="4" w:space="0"/>
              <w:left w:val="single" w:color="000000" w:sz="4" w:space="0"/>
              <w:right w:val="single" w:color="000000" w:sz="4" w:space="0"/>
            </w:tcBorders>
            <w:shd w:val="clear" w:color="auto" w:fill="F2F2F2"/>
            <w:tcMar>
              <w:top w:w="3" w:type="dxa"/>
              <w:left w:w="3" w:type="dxa"/>
              <w:bottom w:w="0" w:type="dxa"/>
              <w:right w:w="3" w:type="dxa"/>
            </w:tcMar>
            <w:vAlign w:val="center"/>
          </w:tcPr>
          <w:p w14:paraId="1633ECF8">
            <w:pPr>
              <w:jc w:val="center"/>
              <w:rPr>
                <w:rFonts w:ascii="宋体" w:hAnsi="宋体"/>
                <w:sz w:val="18"/>
                <w:szCs w:val="18"/>
              </w:rPr>
            </w:pPr>
            <w:r>
              <w:rPr>
                <w:rFonts w:hint="eastAsia" w:ascii="宋体" w:hAnsi="宋体"/>
                <w:sz w:val="18"/>
                <w:szCs w:val="18"/>
              </w:rPr>
              <w:t>0.4</w:t>
            </w:r>
          </w:p>
        </w:tc>
      </w:tr>
      <w:tr w14:paraId="0A3C9607">
        <w:tblPrEx>
          <w:tblCellMar>
            <w:top w:w="0" w:type="dxa"/>
            <w:left w:w="0" w:type="dxa"/>
            <w:bottom w:w="0" w:type="dxa"/>
            <w:right w:w="0" w:type="dxa"/>
          </w:tblCellMar>
        </w:tblPrEx>
        <w:trPr>
          <w:trHeight w:val="263" w:hRule="atLeast"/>
          <w:jc w:val="center"/>
        </w:trPr>
        <w:tc>
          <w:tcPr>
            <w:tcW w:w="0" w:type="auto"/>
            <w:vMerge w:val="continue"/>
            <w:tcBorders>
              <w:left w:val="single" w:color="000000" w:sz="4" w:space="0"/>
              <w:right w:val="single" w:color="000000" w:sz="4" w:space="0"/>
            </w:tcBorders>
            <w:vAlign w:val="center"/>
          </w:tcPr>
          <w:p w14:paraId="57ADED2F">
            <w:pPr>
              <w:jc w:val="center"/>
              <w:rPr>
                <w:rFonts w:ascii="宋体" w:hAnsi="宋体"/>
                <w:sz w:val="18"/>
                <w:szCs w:val="18"/>
              </w:rPr>
            </w:pPr>
          </w:p>
        </w:tc>
        <w:tc>
          <w:tcPr>
            <w:tcW w:w="1764" w:type="dxa"/>
            <w:gridSpan w:val="3"/>
            <w:vMerge w:val="restart"/>
            <w:tcBorders>
              <w:top w:val="single" w:color="000000" w:sz="4" w:space="0"/>
              <w:left w:val="single" w:color="000000" w:sz="4" w:space="0"/>
              <w:right w:val="single" w:color="000000" w:sz="4" w:space="0"/>
            </w:tcBorders>
            <w:shd w:val="clear" w:color="auto" w:fill="F2F2F2"/>
            <w:tcMar>
              <w:top w:w="3" w:type="dxa"/>
              <w:left w:w="3" w:type="dxa"/>
              <w:bottom w:w="0" w:type="dxa"/>
              <w:right w:w="3" w:type="dxa"/>
            </w:tcMar>
            <w:vAlign w:val="center"/>
          </w:tcPr>
          <w:p w14:paraId="511EBF1A">
            <w:pPr>
              <w:jc w:val="center"/>
              <w:rPr>
                <w:rFonts w:ascii="宋体" w:hAnsi="宋体"/>
                <w:sz w:val="18"/>
                <w:szCs w:val="18"/>
              </w:rPr>
            </w:pPr>
            <w:r>
              <w:rPr>
                <w:rFonts w:hint="eastAsia" w:ascii="宋体" w:hAnsi="宋体"/>
                <w:sz w:val="18"/>
                <w:szCs w:val="18"/>
              </w:rPr>
              <w:t>行政办公</w:t>
            </w:r>
          </w:p>
        </w:tc>
        <w:tc>
          <w:tcPr>
            <w:tcW w:w="1765" w:type="dxa"/>
            <w:tcBorders>
              <w:top w:val="single" w:color="000000" w:sz="4" w:space="0"/>
              <w:left w:val="single" w:color="000000" w:sz="4" w:space="0"/>
              <w:right w:val="single" w:color="000000" w:sz="4" w:space="0"/>
            </w:tcBorders>
            <w:shd w:val="clear" w:color="auto" w:fill="F2F2F2"/>
            <w:vAlign w:val="center"/>
          </w:tcPr>
          <w:p w14:paraId="12285D67">
            <w:pPr>
              <w:jc w:val="center"/>
              <w:rPr>
                <w:rFonts w:ascii="宋体" w:hAnsi="宋体"/>
                <w:sz w:val="18"/>
                <w:szCs w:val="18"/>
              </w:rPr>
            </w:pPr>
            <w:r>
              <w:rPr>
                <w:rFonts w:hint="eastAsia" w:ascii="宋体" w:hAnsi="宋体"/>
                <w:sz w:val="18"/>
                <w:szCs w:val="18"/>
              </w:rPr>
              <w:t>涉外窗口</w:t>
            </w:r>
          </w:p>
        </w:tc>
        <w:tc>
          <w:tcPr>
            <w:tcW w:w="0" w:type="auto"/>
            <w:vMerge w:val="continue"/>
            <w:tcBorders>
              <w:left w:val="single" w:color="000000" w:sz="4" w:space="0"/>
              <w:right w:val="single" w:color="000000" w:sz="4" w:space="0"/>
            </w:tcBorders>
            <w:vAlign w:val="center"/>
          </w:tcPr>
          <w:p w14:paraId="644DAA24">
            <w:pPr>
              <w:jc w:val="center"/>
              <w:rPr>
                <w:rFonts w:ascii="宋体" w:hAnsi="宋体"/>
                <w:sz w:val="18"/>
                <w:szCs w:val="18"/>
              </w:rPr>
            </w:pPr>
          </w:p>
        </w:tc>
        <w:tc>
          <w:tcPr>
            <w:tcW w:w="0" w:type="auto"/>
            <w:vMerge w:val="continue"/>
            <w:tcBorders>
              <w:left w:val="single" w:color="000000" w:sz="4" w:space="0"/>
              <w:right w:val="single" w:color="000000" w:sz="4" w:space="0"/>
            </w:tcBorders>
            <w:vAlign w:val="center"/>
          </w:tcPr>
          <w:p w14:paraId="0B47E6F1">
            <w:pPr>
              <w:jc w:val="center"/>
              <w:rPr>
                <w:rFonts w:ascii="宋体" w:hAnsi="宋体"/>
                <w:sz w:val="18"/>
                <w:szCs w:val="18"/>
              </w:rPr>
            </w:pPr>
          </w:p>
        </w:tc>
      </w:tr>
      <w:tr w14:paraId="62B1A6DD">
        <w:tblPrEx>
          <w:tblCellMar>
            <w:top w:w="0" w:type="dxa"/>
            <w:left w:w="0" w:type="dxa"/>
            <w:bottom w:w="0" w:type="dxa"/>
            <w:right w:w="0" w:type="dxa"/>
          </w:tblCellMar>
        </w:tblPrEx>
        <w:trPr>
          <w:trHeight w:val="263" w:hRule="atLeast"/>
          <w:jc w:val="center"/>
        </w:trPr>
        <w:tc>
          <w:tcPr>
            <w:tcW w:w="0" w:type="auto"/>
            <w:vMerge w:val="continue"/>
            <w:tcBorders>
              <w:left w:val="single" w:color="000000" w:sz="4" w:space="0"/>
              <w:right w:val="single" w:color="000000" w:sz="4" w:space="0"/>
            </w:tcBorders>
            <w:vAlign w:val="center"/>
          </w:tcPr>
          <w:p w14:paraId="0916FBBC">
            <w:pPr>
              <w:jc w:val="center"/>
              <w:rPr>
                <w:rFonts w:ascii="宋体" w:hAnsi="宋体"/>
                <w:sz w:val="18"/>
                <w:szCs w:val="18"/>
              </w:rPr>
            </w:pPr>
          </w:p>
        </w:tc>
        <w:tc>
          <w:tcPr>
            <w:tcW w:w="1764" w:type="dxa"/>
            <w:gridSpan w:val="3"/>
            <w:vMerge w:val="continue"/>
            <w:tcBorders>
              <w:left w:val="single" w:color="000000" w:sz="4" w:space="0"/>
              <w:right w:val="single" w:color="000000" w:sz="4" w:space="0"/>
            </w:tcBorders>
            <w:shd w:val="clear" w:color="auto" w:fill="F2F2F2"/>
            <w:tcMar>
              <w:top w:w="3" w:type="dxa"/>
              <w:left w:w="3" w:type="dxa"/>
              <w:bottom w:w="0" w:type="dxa"/>
              <w:right w:w="3" w:type="dxa"/>
            </w:tcMar>
            <w:vAlign w:val="center"/>
          </w:tcPr>
          <w:p w14:paraId="6A00FF21">
            <w:pPr>
              <w:jc w:val="center"/>
              <w:rPr>
                <w:rFonts w:ascii="宋体" w:hAnsi="宋体"/>
                <w:sz w:val="18"/>
                <w:szCs w:val="18"/>
              </w:rPr>
            </w:pPr>
          </w:p>
        </w:tc>
        <w:tc>
          <w:tcPr>
            <w:tcW w:w="1765" w:type="dxa"/>
            <w:tcBorders>
              <w:top w:val="single" w:color="000000" w:sz="4" w:space="0"/>
              <w:left w:val="single" w:color="000000" w:sz="4" w:space="0"/>
              <w:right w:val="single" w:color="000000" w:sz="4" w:space="0"/>
            </w:tcBorders>
            <w:shd w:val="clear" w:color="auto" w:fill="F2F2F2"/>
            <w:vAlign w:val="center"/>
          </w:tcPr>
          <w:p w14:paraId="7E4592B5">
            <w:pPr>
              <w:jc w:val="center"/>
              <w:rPr>
                <w:rFonts w:ascii="宋体" w:hAnsi="宋体"/>
                <w:sz w:val="18"/>
                <w:szCs w:val="18"/>
              </w:rPr>
            </w:pPr>
            <w:r>
              <w:rPr>
                <w:rFonts w:hint="eastAsia" w:ascii="宋体" w:hAnsi="宋体"/>
                <w:sz w:val="18"/>
                <w:szCs w:val="18"/>
              </w:rPr>
              <w:t>市级</w:t>
            </w:r>
          </w:p>
        </w:tc>
        <w:tc>
          <w:tcPr>
            <w:tcW w:w="0" w:type="auto"/>
            <w:vMerge w:val="continue"/>
            <w:tcBorders>
              <w:left w:val="single" w:color="000000" w:sz="4" w:space="0"/>
              <w:right w:val="single" w:color="000000" w:sz="4" w:space="0"/>
            </w:tcBorders>
            <w:vAlign w:val="center"/>
          </w:tcPr>
          <w:p w14:paraId="52D8B6AB">
            <w:pPr>
              <w:jc w:val="center"/>
              <w:rPr>
                <w:rFonts w:ascii="宋体" w:hAnsi="宋体"/>
                <w:sz w:val="18"/>
                <w:szCs w:val="18"/>
              </w:rPr>
            </w:pPr>
          </w:p>
        </w:tc>
        <w:tc>
          <w:tcPr>
            <w:tcW w:w="0" w:type="auto"/>
            <w:vMerge w:val="continue"/>
            <w:tcBorders>
              <w:left w:val="single" w:color="000000" w:sz="4" w:space="0"/>
              <w:right w:val="single" w:color="000000" w:sz="4" w:space="0"/>
            </w:tcBorders>
            <w:vAlign w:val="center"/>
          </w:tcPr>
          <w:p w14:paraId="5D131839">
            <w:pPr>
              <w:jc w:val="center"/>
              <w:rPr>
                <w:rFonts w:ascii="宋体" w:hAnsi="宋体"/>
                <w:sz w:val="18"/>
                <w:szCs w:val="18"/>
              </w:rPr>
            </w:pPr>
          </w:p>
        </w:tc>
      </w:tr>
      <w:tr w14:paraId="640FA7CB">
        <w:tblPrEx>
          <w:tblCellMar>
            <w:top w:w="0" w:type="dxa"/>
            <w:left w:w="0" w:type="dxa"/>
            <w:bottom w:w="0" w:type="dxa"/>
            <w:right w:w="0" w:type="dxa"/>
          </w:tblCellMar>
        </w:tblPrEx>
        <w:trPr>
          <w:trHeight w:val="263" w:hRule="atLeast"/>
          <w:jc w:val="center"/>
        </w:trPr>
        <w:tc>
          <w:tcPr>
            <w:tcW w:w="0" w:type="auto"/>
            <w:vMerge w:val="continue"/>
            <w:tcBorders>
              <w:left w:val="single" w:color="000000" w:sz="4" w:space="0"/>
              <w:right w:val="single" w:color="000000" w:sz="4" w:space="0"/>
            </w:tcBorders>
            <w:vAlign w:val="center"/>
          </w:tcPr>
          <w:p w14:paraId="0067799D">
            <w:pPr>
              <w:jc w:val="center"/>
              <w:rPr>
                <w:rFonts w:ascii="宋体" w:hAnsi="宋体"/>
                <w:sz w:val="18"/>
                <w:szCs w:val="18"/>
              </w:rPr>
            </w:pPr>
          </w:p>
        </w:tc>
        <w:tc>
          <w:tcPr>
            <w:tcW w:w="1764" w:type="dxa"/>
            <w:gridSpan w:val="3"/>
            <w:vMerge w:val="continue"/>
            <w:tcBorders>
              <w:left w:val="single" w:color="000000" w:sz="4" w:space="0"/>
              <w:right w:val="single" w:color="000000" w:sz="4" w:space="0"/>
            </w:tcBorders>
            <w:shd w:val="clear" w:color="auto" w:fill="F2F2F2"/>
            <w:tcMar>
              <w:top w:w="3" w:type="dxa"/>
              <w:left w:w="3" w:type="dxa"/>
              <w:bottom w:w="0" w:type="dxa"/>
              <w:right w:w="3" w:type="dxa"/>
            </w:tcMar>
            <w:vAlign w:val="center"/>
          </w:tcPr>
          <w:p w14:paraId="0DFD511A">
            <w:pPr>
              <w:jc w:val="center"/>
              <w:rPr>
                <w:rFonts w:ascii="宋体" w:hAnsi="宋体"/>
                <w:sz w:val="18"/>
                <w:szCs w:val="18"/>
              </w:rPr>
            </w:pPr>
          </w:p>
        </w:tc>
        <w:tc>
          <w:tcPr>
            <w:tcW w:w="1765" w:type="dxa"/>
            <w:tcBorders>
              <w:top w:val="single" w:color="000000" w:sz="4" w:space="0"/>
              <w:left w:val="single" w:color="000000" w:sz="4" w:space="0"/>
              <w:right w:val="single" w:color="000000" w:sz="4" w:space="0"/>
            </w:tcBorders>
            <w:shd w:val="clear" w:color="auto" w:fill="F2F2F2"/>
            <w:vAlign w:val="center"/>
          </w:tcPr>
          <w:p w14:paraId="59330696">
            <w:pPr>
              <w:jc w:val="center"/>
              <w:rPr>
                <w:rFonts w:ascii="宋体" w:hAnsi="宋体"/>
                <w:sz w:val="18"/>
                <w:szCs w:val="18"/>
              </w:rPr>
            </w:pPr>
            <w:r>
              <w:rPr>
                <w:rFonts w:hint="eastAsia" w:ascii="宋体" w:hAnsi="宋体"/>
                <w:sz w:val="18"/>
                <w:szCs w:val="18"/>
              </w:rPr>
              <w:t>其他</w:t>
            </w:r>
          </w:p>
        </w:tc>
        <w:tc>
          <w:tcPr>
            <w:tcW w:w="0" w:type="auto"/>
            <w:vMerge w:val="continue"/>
            <w:tcBorders>
              <w:left w:val="single" w:color="000000" w:sz="4" w:space="0"/>
              <w:right w:val="single" w:color="000000" w:sz="4" w:space="0"/>
            </w:tcBorders>
            <w:vAlign w:val="center"/>
          </w:tcPr>
          <w:p w14:paraId="75FCD1D7">
            <w:pPr>
              <w:jc w:val="center"/>
              <w:rPr>
                <w:rFonts w:ascii="宋体" w:hAnsi="宋体"/>
                <w:sz w:val="18"/>
                <w:szCs w:val="18"/>
              </w:rPr>
            </w:pPr>
          </w:p>
        </w:tc>
        <w:tc>
          <w:tcPr>
            <w:tcW w:w="0" w:type="auto"/>
            <w:vMerge w:val="continue"/>
            <w:tcBorders>
              <w:left w:val="single" w:color="000000" w:sz="4" w:space="0"/>
              <w:right w:val="single" w:color="000000" w:sz="4" w:space="0"/>
            </w:tcBorders>
            <w:vAlign w:val="center"/>
          </w:tcPr>
          <w:p w14:paraId="44DD440B">
            <w:pPr>
              <w:jc w:val="center"/>
              <w:rPr>
                <w:rFonts w:ascii="宋体" w:hAnsi="宋体"/>
                <w:sz w:val="18"/>
                <w:szCs w:val="18"/>
              </w:rPr>
            </w:pPr>
          </w:p>
        </w:tc>
      </w:tr>
      <w:tr w14:paraId="37DCBC45">
        <w:tblPrEx>
          <w:tblCellMar>
            <w:top w:w="0" w:type="dxa"/>
            <w:left w:w="0" w:type="dxa"/>
            <w:bottom w:w="0" w:type="dxa"/>
            <w:right w:w="0" w:type="dxa"/>
          </w:tblCellMar>
        </w:tblPrEx>
        <w:trPr>
          <w:jc w:val="center"/>
        </w:trPr>
        <w:tc>
          <w:tcPr>
            <w:tcW w:w="0" w:type="auto"/>
            <w:vMerge w:val="continue"/>
            <w:tcBorders>
              <w:left w:val="single" w:color="000000" w:sz="4" w:space="0"/>
              <w:bottom w:val="single" w:color="000000" w:sz="4" w:space="0"/>
              <w:right w:val="single" w:color="000000" w:sz="4" w:space="0"/>
            </w:tcBorders>
            <w:vAlign w:val="center"/>
          </w:tcPr>
          <w:p w14:paraId="5D22E3F2">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872EE01">
            <w:pPr>
              <w:jc w:val="center"/>
              <w:rPr>
                <w:rFonts w:ascii="宋体" w:hAnsi="宋体"/>
                <w:sz w:val="18"/>
                <w:szCs w:val="18"/>
              </w:rPr>
            </w:pPr>
            <w:r>
              <w:rPr>
                <w:rFonts w:hint="eastAsia" w:ascii="宋体" w:hAnsi="宋体"/>
                <w:sz w:val="18"/>
                <w:szCs w:val="18"/>
              </w:rPr>
              <w:t>其它办公</w:t>
            </w:r>
          </w:p>
        </w:tc>
        <w:tc>
          <w:tcPr>
            <w:tcW w:w="0" w:type="auto"/>
            <w:vMerge w:val="continue"/>
            <w:tcBorders>
              <w:left w:val="single" w:color="000000" w:sz="4" w:space="0"/>
              <w:bottom w:val="single" w:color="000000" w:sz="4" w:space="0"/>
              <w:right w:val="single" w:color="000000" w:sz="4" w:space="0"/>
            </w:tcBorders>
            <w:vAlign w:val="center"/>
          </w:tcPr>
          <w:p w14:paraId="77150592">
            <w:pPr>
              <w:jc w:val="center"/>
              <w:rPr>
                <w:rFonts w:ascii="宋体" w:hAnsi="宋体"/>
                <w:sz w:val="18"/>
                <w:szCs w:val="18"/>
              </w:rPr>
            </w:pPr>
          </w:p>
        </w:tc>
        <w:tc>
          <w:tcPr>
            <w:tcW w:w="0" w:type="auto"/>
            <w:vMerge w:val="continue"/>
            <w:tcBorders>
              <w:left w:val="single" w:color="000000" w:sz="4" w:space="0"/>
              <w:bottom w:val="single" w:color="000000" w:sz="4" w:space="0"/>
              <w:right w:val="single" w:color="000000" w:sz="4" w:space="0"/>
            </w:tcBorders>
            <w:vAlign w:val="center"/>
          </w:tcPr>
          <w:p w14:paraId="33E622F2">
            <w:pPr>
              <w:jc w:val="center"/>
              <w:rPr>
                <w:rFonts w:ascii="宋体" w:hAnsi="宋体"/>
                <w:sz w:val="18"/>
                <w:szCs w:val="18"/>
              </w:rPr>
            </w:pPr>
          </w:p>
        </w:tc>
      </w:tr>
      <w:tr w14:paraId="06E2444C">
        <w:tblPrEx>
          <w:tblCellMar>
            <w:top w:w="0" w:type="dxa"/>
            <w:left w:w="0" w:type="dxa"/>
            <w:bottom w:w="0" w:type="dxa"/>
            <w:right w:w="0" w:type="dxa"/>
          </w:tblCellMar>
        </w:tblPrEx>
        <w:trPr>
          <w:trHeight w:val="299" w:hRule="atLeast"/>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E91B554">
            <w:pPr>
              <w:jc w:val="center"/>
              <w:rPr>
                <w:rFonts w:ascii="宋体" w:hAnsi="宋体"/>
                <w:sz w:val="18"/>
                <w:szCs w:val="18"/>
              </w:rPr>
            </w:pPr>
            <w:r>
              <w:rPr>
                <w:rFonts w:hint="eastAsia" w:ascii="宋体" w:hAnsi="宋体"/>
                <w:sz w:val="18"/>
                <w:szCs w:val="18"/>
              </w:rPr>
              <w:t>商业</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4B26E23">
            <w:pPr>
              <w:jc w:val="center"/>
              <w:rPr>
                <w:rFonts w:ascii="宋体" w:hAnsi="宋体"/>
                <w:sz w:val="18"/>
                <w:szCs w:val="18"/>
              </w:rPr>
            </w:pPr>
            <w:r>
              <w:rPr>
                <w:rFonts w:hint="eastAsia" w:ascii="宋体" w:hAnsi="宋体"/>
                <w:sz w:val="18"/>
                <w:szCs w:val="18"/>
              </w:rPr>
              <w:t>零售商业、餐饮、娱乐</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04377BE">
            <w:pPr>
              <w:jc w:val="center"/>
              <w:rPr>
                <w:rFonts w:ascii="宋体" w:hAnsi="宋体"/>
                <w:sz w:val="18"/>
                <w:szCs w:val="18"/>
              </w:rPr>
            </w:pPr>
            <w:r>
              <w:rPr>
                <w:rFonts w:hint="eastAsia" w:ascii="宋体" w:hAnsi="宋体"/>
                <w:sz w:val="18"/>
                <w:szCs w:val="18"/>
              </w:rPr>
              <w:t>车位/100㎡建筑面积</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2BB1827">
            <w:pPr>
              <w:jc w:val="center"/>
              <w:rPr>
                <w:rFonts w:ascii="宋体" w:hAnsi="宋体"/>
                <w:sz w:val="18"/>
                <w:szCs w:val="18"/>
              </w:rPr>
            </w:pPr>
            <w:r>
              <w:rPr>
                <w:rFonts w:hint="eastAsia" w:ascii="宋体" w:hAnsi="宋体"/>
                <w:sz w:val="18"/>
                <w:szCs w:val="18"/>
              </w:rPr>
              <w:t>0.4</w:t>
            </w:r>
          </w:p>
        </w:tc>
      </w:tr>
      <w:tr w14:paraId="336D679F">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4FA014">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D559DED">
            <w:pPr>
              <w:jc w:val="center"/>
              <w:rPr>
                <w:rFonts w:ascii="宋体" w:hAnsi="宋体"/>
                <w:sz w:val="18"/>
                <w:szCs w:val="18"/>
              </w:rPr>
            </w:pPr>
            <w:r>
              <w:rPr>
                <w:rFonts w:hint="eastAsia" w:ascii="宋体" w:hAnsi="宋体"/>
                <w:sz w:val="18"/>
                <w:szCs w:val="18"/>
              </w:rPr>
              <w:t>批发市场</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858986">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E8C5A30">
            <w:pPr>
              <w:jc w:val="center"/>
              <w:rPr>
                <w:rFonts w:ascii="宋体" w:hAnsi="宋体"/>
                <w:sz w:val="18"/>
                <w:szCs w:val="18"/>
              </w:rPr>
            </w:pPr>
            <w:r>
              <w:rPr>
                <w:rFonts w:hint="eastAsia" w:ascii="宋体" w:hAnsi="宋体"/>
                <w:sz w:val="18"/>
                <w:szCs w:val="18"/>
              </w:rPr>
              <w:t>1.5</w:t>
            </w:r>
          </w:p>
        </w:tc>
      </w:tr>
      <w:tr w14:paraId="6F793657">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1EE6173">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E5E2FA1">
            <w:pPr>
              <w:jc w:val="center"/>
              <w:rPr>
                <w:rFonts w:ascii="宋体" w:hAnsi="宋体"/>
                <w:sz w:val="18"/>
                <w:szCs w:val="18"/>
              </w:rPr>
            </w:pPr>
            <w:r>
              <w:rPr>
                <w:rFonts w:hint="eastAsia" w:ascii="宋体" w:hAnsi="宋体"/>
                <w:sz w:val="18"/>
                <w:szCs w:val="18"/>
              </w:rPr>
              <w:t>生鲜超市中心店</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00CAFF0">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9B6883D">
            <w:pPr>
              <w:jc w:val="center"/>
              <w:rPr>
                <w:rFonts w:ascii="宋体" w:hAnsi="宋体"/>
                <w:sz w:val="18"/>
                <w:szCs w:val="18"/>
              </w:rPr>
            </w:pPr>
            <w:r>
              <w:rPr>
                <w:rFonts w:hint="eastAsia" w:ascii="宋体" w:hAnsi="宋体"/>
                <w:sz w:val="18"/>
                <w:szCs w:val="18"/>
              </w:rPr>
              <w:t>3</w:t>
            </w:r>
            <w:r>
              <w:rPr>
                <w:rFonts w:ascii="宋体" w:hAnsi="宋体"/>
                <w:sz w:val="18"/>
                <w:szCs w:val="18"/>
              </w:rPr>
              <w:t>.0</w:t>
            </w:r>
          </w:p>
        </w:tc>
      </w:tr>
      <w:tr w14:paraId="61BA7390">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A649AD1">
            <w:pPr>
              <w:jc w:val="center"/>
              <w:rPr>
                <w:rFonts w:ascii="宋体" w:hAnsi="宋体"/>
                <w:sz w:val="18"/>
                <w:szCs w:val="18"/>
              </w:rPr>
            </w:pPr>
            <w:r>
              <w:rPr>
                <w:rFonts w:hint="eastAsia" w:ascii="宋体" w:hAnsi="宋体"/>
                <w:sz w:val="18"/>
                <w:szCs w:val="18"/>
              </w:rPr>
              <w:t>文化</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620AAF4">
            <w:pPr>
              <w:jc w:val="center"/>
              <w:rPr>
                <w:rFonts w:ascii="宋体" w:hAnsi="宋体"/>
                <w:sz w:val="18"/>
                <w:szCs w:val="18"/>
              </w:rPr>
            </w:pPr>
            <w:r>
              <w:rPr>
                <w:rFonts w:hint="eastAsia" w:ascii="宋体" w:hAnsi="宋体"/>
                <w:sz w:val="18"/>
                <w:szCs w:val="18"/>
              </w:rPr>
              <w:t>博物馆、图书馆</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24B2374">
            <w:pPr>
              <w:jc w:val="center"/>
              <w:rPr>
                <w:rFonts w:ascii="宋体" w:hAnsi="宋体"/>
                <w:sz w:val="18"/>
                <w:szCs w:val="18"/>
              </w:rPr>
            </w:pPr>
            <w:r>
              <w:rPr>
                <w:rFonts w:hint="eastAsia" w:ascii="宋体" w:hAnsi="宋体"/>
                <w:sz w:val="18"/>
                <w:szCs w:val="18"/>
              </w:rPr>
              <w:t>车位/100㎡建筑面积</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D4ED0AC">
            <w:pPr>
              <w:jc w:val="center"/>
              <w:rPr>
                <w:rFonts w:ascii="宋体" w:hAnsi="宋体"/>
                <w:sz w:val="18"/>
                <w:szCs w:val="18"/>
              </w:rPr>
            </w:pPr>
            <w:r>
              <w:rPr>
                <w:rFonts w:hint="eastAsia" w:ascii="宋体" w:hAnsi="宋体"/>
                <w:sz w:val="18"/>
                <w:szCs w:val="18"/>
              </w:rPr>
              <w:t>0.4</w:t>
            </w:r>
          </w:p>
        </w:tc>
      </w:tr>
      <w:tr w14:paraId="16E94047">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AB7988">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D2F01B2">
            <w:pPr>
              <w:jc w:val="center"/>
              <w:rPr>
                <w:rFonts w:ascii="宋体" w:hAnsi="宋体"/>
                <w:sz w:val="18"/>
                <w:szCs w:val="18"/>
              </w:rPr>
            </w:pPr>
            <w:r>
              <w:rPr>
                <w:rFonts w:hint="eastAsia" w:ascii="宋体" w:hAnsi="宋体"/>
                <w:sz w:val="18"/>
                <w:szCs w:val="18"/>
              </w:rPr>
              <w:t>展览馆</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227B45">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3A41317">
            <w:pPr>
              <w:jc w:val="center"/>
              <w:rPr>
                <w:rFonts w:ascii="宋体" w:hAnsi="宋体"/>
                <w:sz w:val="18"/>
                <w:szCs w:val="18"/>
              </w:rPr>
            </w:pPr>
            <w:r>
              <w:rPr>
                <w:rFonts w:hint="eastAsia" w:ascii="宋体" w:hAnsi="宋体"/>
                <w:sz w:val="18"/>
                <w:szCs w:val="18"/>
              </w:rPr>
              <w:t>0.4</w:t>
            </w:r>
          </w:p>
        </w:tc>
      </w:tr>
      <w:tr w14:paraId="70E7B26A">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2D19439">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3CE7DAA">
            <w:pPr>
              <w:jc w:val="center"/>
              <w:rPr>
                <w:rFonts w:ascii="宋体" w:hAnsi="宋体"/>
                <w:sz w:val="18"/>
                <w:szCs w:val="18"/>
              </w:rPr>
            </w:pPr>
            <w:r>
              <w:rPr>
                <w:rFonts w:hint="eastAsia" w:ascii="宋体" w:hAnsi="宋体"/>
                <w:sz w:val="18"/>
                <w:szCs w:val="18"/>
              </w:rPr>
              <w:t>电影院</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C602494">
            <w:pPr>
              <w:jc w:val="center"/>
              <w:rPr>
                <w:rFonts w:ascii="宋体" w:hAnsi="宋体"/>
                <w:sz w:val="18"/>
                <w:szCs w:val="18"/>
              </w:rPr>
            </w:pPr>
            <w:r>
              <w:rPr>
                <w:rFonts w:hint="eastAsia" w:ascii="宋体" w:hAnsi="宋体"/>
                <w:sz w:val="18"/>
                <w:szCs w:val="18"/>
              </w:rPr>
              <w:t>车位/100 座</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45DBAC9">
            <w:pPr>
              <w:jc w:val="center"/>
              <w:rPr>
                <w:rFonts w:ascii="宋体" w:hAnsi="宋体"/>
                <w:sz w:val="18"/>
                <w:szCs w:val="18"/>
              </w:rPr>
            </w:pPr>
            <w:r>
              <w:rPr>
                <w:rFonts w:hint="eastAsia" w:ascii="宋体" w:hAnsi="宋体"/>
                <w:sz w:val="18"/>
                <w:szCs w:val="18"/>
              </w:rPr>
              <w:t>1.5</w:t>
            </w:r>
          </w:p>
        </w:tc>
      </w:tr>
      <w:tr w14:paraId="7059DB0E">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C47827">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7EE83AC">
            <w:pPr>
              <w:jc w:val="center"/>
              <w:rPr>
                <w:rFonts w:ascii="宋体" w:hAnsi="宋体"/>
                <w:sz w:val="18"/>
                <w:szCs w:val="18"/>
              </w:rPr>
            </w:pPr>
            <w:r>
              <w:rPr>
                <w:rFonts w:hint="eastAsia" w:ascii="宋体" w:hAnsi="宋体"/>
                <w:sz w:val="18"/>
                <w:szCs w:val="18"/>
              </w:rPr>
              <w:t>剧院</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B58CE3">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906D3E">
            <w:pPr>
              <w:jc w:val="center"/>
              <w:rPr>
                <w:rFonts w:ascii="宋体" w:hAnsi="宋体"/>
                <w:sz w:val="18"/>
                <w:szCs w:val="18"/>
              </w:rPr>
            </w:pPr>
          </w:p>
        </w:tc>
      </w:tr>
      <w:tr w14:paraId="42802903">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9F491B7">
            <w:pPr>
              <w:jc w:val="center"/>
              <w:rPr>
                <w:rFonts w:ascii="宋体" w:hAnsi="宋体"/>
                <w:sz w:val="18"/>
                <w:szCs w:val="18"/>
              </w:rPr>
            </w:pPr>
            <w:r>
              <w:rPr>
                <w:rFonts w:hint="eastAsia" w:ascii="宋体" w:hAnsi="宋体"/>
                <w:sz w:val="18"/>
                <w:szCs w:val="18"/>
              </w:rPr>
              <w:t>医院</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E085C7F">
            <w:pPr>
              <w:jc w:val="center"/>
              <w:rPr>
                <w:rFonts w:ascii="宋体" w:hAnsi="宋体"/>
                <w:sz w:val="18"/>
                <w:szCs w:val="18"/>
              </w:rPr>
            </w:pPr>
            <w:r>
              <w:rPr>
                <w:rFonts w:hint="eastAsia" w:ascii="宋体" w:hAnsi="宋体"/>
                <w:sz w:val="18"/>
                <w:szCs w:val="18"/>
              </w:rPr>
              <w:t>综合、专科医院</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C33AF79">
            <w:pPr>
              <w:jc w:val="center"/>
              <w:rPr>
                <w:rFonts w:ascii="宋体" w:hAnsi="宋体"/>
                <w:sz w:val="18"/>
                <w:szCs w:val="18"/>
              </w:rPr>
            </w:pPr>
            <w:r>
              <w:rPr>
                <w:rFonts w:hint="eastAsia" w:ascii="宋体" w:hAnsi="宋体"/>
                <w:sz w:val="18"/>
                <w:szCs w:val="18"/>
              </w:rPr>
              <w:t>车位/100㎡建筑面积</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99D81F6">
            <w:pPr>
              <w:jc w:val="center"/>
              <w:rPr>
                <w:rFonts w:ascii="宋体" w:hAnsi="宋体"/>
                <w:sz w:val="18"/>
                <w:szCs w:val="18"/>
              </w:rPr>
            </w:pPr>
            <w:r>
              <w:rPr>
                <w:rFonts w:hint="eastAsia" w:ascii="宋体" w:hAnsi="宋体"/>
                <w:sz w:val="18"/>
                <w:szCs w:val="18"/>
              </w:rPr>
              <w:t>0.3</w:t>
            </w:r>
          </w:p>
        </w:tc>
      </w:tr>
      <w:tr w14:paraId="2959FDDE">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963070">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CDB5833">
            <w:pPr>
              <w:jc w:val="center"/>
              <w:rPr>
                <w:rFonts w:ascii="宋体" w:hAnsi="宋体"/>
                <w:sz w:val="18"/>
                <w:szCs w:val="18"/>
              </w:rPr>
            </w:pPr>
            <w:r>
              <w:rPr>
                <w:rFonts w:hint="eastAsia" w:ascii="宋体" w:hAnsi="宋体"/>
                <w:sz w:val="18"/>
                <w:szCs w:val="18"/>
              </w:rPr>
              <w:t>社区卫生服务中心</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8339B35">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68E4E96">
            <w:pPr>
              <w:jc w:val="center"/>
              <w:rPr>
                <w:rFonts w:ascii="宋体" w:hAnsi="宋体"/>
                <w:sz w:val="18"/>
                <w:szCs w:val="18"/>
              </w:rPr>
            </w:pPr>
          </w:p>
        </w:tc>
      </w:tr>
      <w:tr w14:paraId="3D85B9B0">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6396C8D">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EEF6A4C">
            <w:pPr>
              <w:jc w:val="center"/>
              <w:rPr>
                <w:rFonts w:ascii="宋体" w:hAnsi="宋体"/>
                <w:sz w:val="18"/>
                <w:szCs w:val="18"/>
              </w:rPr>
            </w:pPr>
            <w:r>
              <w:rPr>
                <w:rFonts w:hint="eastAsia" w:ascii="宋体" w:hAnsi="宋体"/>
                <w:sz w:val="18"/>
                <w:szCs w:val="18"/>
              </w:rPr>
              <w:t>疗养院、养老院</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C3AC7B6">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A70F8F2">
            <w:pPr>
              <w:jc w:val="center"/>
              <w:rPr>
                <w:rFonts w:ascii="宋体" w:hAnsi="宋体"/>
                <w:sz w:val="18"/>
                <w:szCs w:val="18"/>
              </w:rPr>
            </w:pPr>
          </w:p>
        </w:tc>
      </w:tr>
      <w:tr w14:paraId="02E98FA5">
        <w:tblPrEx>
          <w:tblCellMar>
            <w:top w:w="0" w:type="dxa"/>
            <w:left w:w="0" w:type="dxa"/>
            <w:bottom w:w="0" w:type="dxa"/>
            <w:right w:w="0" w:type="dxa"/>
          </w:tblCellMar>
        </w:tblPrEx>
        <w:trPr>
          <w:trHeight w:val="509" w:hRule="atLeast"/>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4C6AB6C">
            <w:pPr>
              <w:jc w:val="center"/>
              <w:rPr>
                <w:rFonts w:ascii="宋体" w:hAnsi="宋体"/>
                <w:sz w:val="18"/>
                <w:szCs w:val="18"/>
              </w:rPr>
            </w:pPr>
            <w:r>
              <w:rPr>
                <w:rFonts w:hint="eastAsia" w:ascii="宋体" w:hAnsi="宋体"/>
                <w:sz w:val="18"/>
                <w:szCs w:val="18"/>
              </w:rPr>
              <w:t>体育</w:t>
            </w:r>
          </w:p>
        </w:tc>
        <w:tc>
          <w:tcPr>
            <w:tcW w:w="802"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77434AA">
            <w:pPr>
              <w:jc w:val="center"/>
              <w:rPr>
                <w:rFonts w:ascii="宋体" w:hAnsi="宋体"/>
                <w:sz w:val="18"/>
                <w:szCs w:val="18"/>
              </w:rPr>
            </w:pPr>
            <w:r>
              <w:rPr>
                <w:rFonts w:hint="eastAsia" w:ascii="宋体" w:hAnsi="宋体"/>
                <w:sz w:val="18"/>
                <w:szCs w:val="18"/>
              </w:rPr>
              <w:t>比赛训练场馆</w:t>
            </w:r>
          </w:p>
        </w:tc>
        <w:tc>
          <w:tcPr>
            <w:tcW w:w="2727" w:type="dxa"/>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083A68E">
            <w:pPr>
              <w:jc w:val="center"/>
              <w:rPr>
                <w:rFonts w:ascii="宋体" w:hAnsi="宋体"/>
                <w:sz w:val="18"/>
                <w:szCs w:val="18"/>
              </w:rPr>
            </w:pPr>
            <w:r>
              <w:rPr>
                <w:rFonts w:hint="eastAsia" w:ascii="宋体" w:hAnsi="宋体"/>
                <w:sz w:val="18"/>
                <w:szCs w:val="18"/>
              </w:rPr>
              <w:t>（体育场≧15000座或体育馆≧4000座）</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156E437">
            <w:pPr>
              <w:jc w:val="center"/>
              <w:rPr>
                <w:rFonts w:ascii="宋体" w:hAnsi="宋体"/>
                <w:sz w:val="18"/>
                <w:szCs w:val="18"/>
              </w:rPr>
            </w:pPr>
            <w:r>
              <w:rPr>
                <w:rFonts w:hint="eastAsia" w:ascii="宋体" w:hAnsi="宋体"/>
                <w:sz w:val="18"/>
                <w:szCs w:val="18"/>
              </w:rPr>
              <w:t>车位/100 座</w:t>
            </w:r>
          </w:p>
        </w:tc>
        <w:tc>
          <w:tcPr>
            <w:tcW w:w="142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8821761">
            <w:pPr>
              <w:jc w:val="center"/>
              <w:rPr>
                <w:rFonts w:ascii="宋体" w:hAnsi="宋体"/>
                <w:sz w:val="18"/>
                <w:szCs w:val="18"/>
              </w:rPr>
            </w:pPr>
            <w:r>
              <w:rPr>
                <w:rFonts w:hint="eastAsia" w:ascii="宋体" w:hAnsi="宋体"/>
                <w:sz w:val="18"/>
                <w:szCs w:val="18"/>
              </w:rPr>
              <w:t>2</w:t>
            </w:r>
            <w:r>
              <w:rPr>
                <w:rFonts w:ascii="宋体" w:hAnsi="宋体"/>
                <w:sz w:val="18"/>
                <w:szCs w:val="18"/>
              </w:rPr>
              <w:t>.0</w:t>
            </w:r>
          </w:p>
        </w:tc>
      </w:tr>
      <w:tr w14:paraId="09E413FB">
        <w:tblPrEx>
          <w:tblCellMar>
            <w:top w:w="0" w:type="dxa"/>
            <w:left w:w="0" w:type="dxa"/>
            <w:bottom w:w="0" w:type="dxa"/>
            <w:right w:w="0" w:type="dxa"/>
          </w:tblCellMar>
        </w:tblPrEx>
        <w:trPr>
          <w:trHeight w:val="509"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FAB8D0D">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059DB0A">
            <w:pPr>
              <w:jc w:val="center"/>
              <w:rPr>
                <w:rFonts w:ascii="宋体" w:hAnsi="宋体"/>
                <w:sz w:val="18"/>
                <w:szCs w:val="18"/>
              </w:rPr>
            </w:pPr>
          </w:p>
        </w:tc>
        <w:tc>
          <w:tcPr>
            <w:tcW w:w="2727" w:type="dxa"/>
            <w:gridSpan w:val="3"/>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79C40E7">
            <w:pPr>
              <w:jc w:val="center"/>
              <w:rPr>
                <w:rFonts w:ascii="宋体" w:hAnsi="宋体"/>
                <w:sz w:val="18"/>
                <w:szCs w:val="18"/>
              </w:rPr>
            </w:pPr>
            <w:r>
              <w:rPr>
                <w:rFonts w:hint="eastAsia" w:ascii="宋体" w:hAnsi="宋体"/>
                <w:sz w:val="18"/>
                <w:szCs w:val="18"/>
              </w:rPr>
              <w:t>（体育场＜15000座或体育馆＜4000座）</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464E8D">
            <w:pPr>
              <w:jc w:val="center"/>
              <w:rPr>
                <w:rFonts w:ascii="宋体" w:hAnsi="宋体"/>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B8E9C6">
            <w:pPr>
              <w:jc w:val="center"/>
              <w:rPr>
                <w:rFonts w:ascii="宋体" w:hAnsi="宋体"/>
                <w:sz w:val="18"/>
                <w:szCs w:val="18"/>
              </w:rPr>
            </w:pPr>
          </w:p>
        </w:tc>
      </w:tr>
      <w:tr w14:paraId="330757AF">
        <w:tblPrEx>
          <w:tblCellMar>
            <w:top w:w="0" w:type="dxa"/>
            <w:left w:w="0" w:type="dxa"/>
            <w:bottom w:w="0" w:type="dxa"/>
            <w:right w:w="0" w:type="dxa"/>
          </w:tblCellMar>
        </w:tblPrEx>
        <w:trPr>
          <w:trHeight w:val="3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C40EB3">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BD05AFC">
            <w:pPr>
              <w:jc w:val="center"/>
              <w:rPr>
                <w:rFonts w:ascii="宋体" w:hAnsi="宋体"/>
                <w:sz w:val="18"/>
                <w:szCs w:val="18"/>
              </w:rPr>
            </w:pPr>
            <w:r>
              <w:rPr>
                <w:rFonts w:hint="eastAsia" w:ascii="宋体" w:hAnsi="宋体"/>
                <w:sz w:val="18"/>
                <w:szCs w:val="18"/>
              </w:rPr>
              <w:t>全民健身体育场馆</w:t>
            </w:r>
          </w:p>
        </w:tc>
        <w:tc>
          <w:tcPr>
            <w:tcW w:w="158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91EB6A4">
            <w:pPr>
              <w:jc w:val="center"/>
              <w:rPr>
                <w:rFonts w:ascii="宋体" w:hAnsi="宋体"/>
                <w:sz w:val="18"/>
                <w:szCs w:val="18"/>
              </w:rPr>
            </w:pPr>
            <w:r>
              <w:rPr>
                <w:rFonts w:hint="eastAsia" w:ascii="宋体" w:hAnsi="宋体"/>
                <w:sz w:val="18"/>
                <w:szCs w:val="18"/>
              </w:rPr>
              <w:t>车位/100㎡建筑面积</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1FF0D8A">
            <w:pPr>
              <w:jc w:val="center"/>
              <w:rPr>
                <w:rFonts w:ascii="宋体" w:hAnsi="宋体"/>
                <w:sz w:val="18"/>
                <w:szCs w:val="18"/>
              </w:rPr>
            </w:pPr>
            <w:r>
              <w:rPr>
                <w:rFonts w:hint="eastAsia" w:ascii="宋体" w:hAnsi="宋体"/>
                <w:sz w:val="18"/>
                <w:szCs w:val="18"/>
              </w:rPr>
              <w:t>1.5</w:t>
            </w:r>
          </w:p>
        </w:tc>
      </w:tr>
      <w:tr w14:paraId="00455796">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39C6AFB">
            <w:pPr>
              <w:jc w:val="center"/>
              <w:rPr>
                <w:rFonts w:ascii="宋体" w:hAnsi="宋体"/>
                <w:sz w:val="18"/>
                <w:szCs w:val="18"/>
              </w:rPr>
            </w:pPr>
            <w:r>
              <w:rPr>
                <w:rFonts w:hint="eastAsia" w:ascii="宋体" w:hAnsi="宋体"/>
                <w:sz w:val="18"/>
                <w:szCs w:val="18"/>
              </w:rPr>
              <w:t>住宅</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437B863">
            <w:pPr>
              <w:jc w:val="center"/>
              <w:rPr>
                <w:rFonts w:ascii="宋体" w:hAnsi="宋体"/>
                <w:sz w:val="18"/>
                <w:szCs w:val="18"/>
              </w:rPr>
            </w:pPr>
            <w:r>
              <w:rPr>
                <w:rFonts w:hint="eastAsia" w:ascii="宋体" w:hAnsi="宋体"/>
                <w:sz w:val="18"/>
                <w:szCs w:val="18"/>
              </w:rPr>
              <w:t>独立式住宅或建筑面积&gt;180㎡</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116CF0F">
            <w:pPr>
              <w:jc w:val="center"/>
              <w:rPr>
                <w:rFonts w:ascii="宋体" w:hAnsi="宋体"/>
                <w:sz w:val="18"/>
                <w:szCs w:val="18"/>
              </w:rPr>
            </w:pPr>
            <w:r>
              <w:rPr>
                <w:rFonts w:hint="eastAsia" w:ascii="宋体" w:hAnsi="宋体"/>
                <w:sz w:val="18"/>
                <w:szCs w:val="18"/>
              </w:rPr>
              <w:t>车位/户</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25B4333">
            <w:pPr>
              <w:jc w:val="center"/>
              <w:rPr>
                <w:rFonts w:ascii="宋体" w:hAnsi="宋体"/>
                <w:sz w:val="18"/>
                <w:szCs w:val="18"/>
              </w:rPr>
            </w:pPr>
            <w:r>
              <w:rPr>
                <w:rFonts w:hint="eastAsia" w:ascii="宋体" w:hAnsi="宋体"/>
                <w:sz w:val="18"/>
                <w:szCs w:val="18"/>
              </w:rPr>
              <w:t>0</w:t>
            </w:r>
          </w:p>
        </w:tc>
      </w:tr>
      <w:tr w14:paraId="7FDFF925">
        <w:tblPrEx>
          <w:tblCellMar>
            <w:top w:w="0" w:type="dxa"/>
            <w:left w:w="0" w:type="dxa"/>
            <w:bottom w:w="0" w:type="dxa"/>
            <w:right w:w="0" w:type="dxa"/>
          </w:tblCellMar>
        </w:tblPrEx>
        <w:trPr>
          <w:trHeight w:val="3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CD36819">
            <w:pPr>
              <w:jc w:val="center"/>
              <w:rPr>
                <w:rFonts w:ascii="宋体" w:hAnsi="宋体"/>
                <w:sz w:val="18"/>
                <w:szCs w:val="18"/>
              </w:rPr>
            </w:pPr>
          </w:p>
        </w:tc>
        <w:tc>
          <w:tcPr>
            <w:tcW w:w="1604" w:type="dxa"/>
            <w:gridSpan w:val="2"/>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D2127DA">
            <w:pPr>
              <w:jc w:val="center"/>
              <w:rPr>
                <w:rFonts w:ascii="宋体" w:hAnsi="宋体"/>
                <w:sz w:val="18"/>
                <w:szCs w:val="18"/>
              </w:rPr>
            </w:pPr>
            <w:r>
              <w:rPr>
                <w:rFonts w:hint="eastAsia" w:ascii="宋体" w:hAnsi="宋体"/>
                <w:sz w:val="18"/>
                <w:szCs w:val="18"/>
              </w:rPr>
              <w:t>普通商品房、安置房、保障性商品房</w:t>
            </w:r>
          </w:p>
        </w:tc>
        <w:tc>
          <w:tcPr>
            <w:tcW w:w="1925" w:type="dxa"/>
            <w:gridSpan w:val="2"/>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8518FA0">
            <w:pPr>
              <w:jc w:val="center"/>
              <w:rPr>
                <w:rFonts w:ascii="宋体" w:hAnsi="宋体"/>
                <w:sz w:val="18"/>
                <w:szCs w:val="18"/>
              </w:rPr>
            </w:pPr>
            <w:r>
              <w:rPr>
                <w:rFonts w:hint="eastAsia" w:ascii="宋体" w:hAnsi="宋体"/>
                <w:sz w:val="18"/>
                <w:szCs w:val="18"/>
              </w:rPr>
              <w:t>180㎡≥户建筑面积&gt;144㎡</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1BE440">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DEDCA51">
            <w:pPr>
              <w:jc w:val="center"/>
              <w:rPr>
                <w:rFonts w:ascii="宋体" w:hAnsi="宋体"/>
                <w:sz w:val="18"/>
                <w:szCs w:val="18"/>
              </w:rPr>
            </w:pPr>
            <w:r>
              <w:rPr>
                <w:rFonts w:hint="eastAsia" w:ascii="宋体" w:hAnsi="宋体"/>
                <w:sz w:val="18"/>
                <w:szCs w:val="18"/>
              </w:rPr>
              <w:t>0</w:t>
            </w:r>
          </w:p>
        </w:tc>
      </w:tr>
      <w:tr w14:paraId="0E425164">
        <w:tblPrEx>
          <w:tblCellMar>
            <w:top w:w="0" w:type="dxa"/>
            <w:left w:w="0" w:type="dxa"/>
            <w:bottom w:w="0" w:type="dxa"/>
            <w:right w:w="0" w:type="dxa"/>
          </w:tblCellMar>
        </w:tblPrEx>
        <w:trPr>
          <w:trHeight w:val="34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29995A8">
            <w:pPr>
              <w:jc w:val="center"/>
              <w:rPr>
                <w:rFonts w:ascii="宋体" w:hAnsi="宋体"/>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0D557971">
            <w:pPr>
              <w:jc w:val="center"/>
              <w:rPr>
                <w:rFonts w:ascii="宋体" w:hAnsi="宋体"/>
                <w:sz w:val="18"/>
                <w:szCs w:val="18"/>
              </w:rPr>
            </w:pPr>
          </w:p>
        </w:tc>
        <w:tc>
          <w:tcPr>
            <w:tcW w:w="1925" w:type="dxa"/>
            <w:gridSpan w:val="2"/>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9CB57FD">
            <w:pPr>
              <w:jc w:val="center"/>
              <w:rPr>
                <w:rFonts w:ascii="宋体" w:hAnsi="宋体"/>
                <w:sz w:val="18"/>
                <w:szCs w:val="18"/>
              </w:rPr>
            </w:pPr>
            <w:r>
              <w:rPr>
                <w:rFonts w:hint="eastAsia" w:ascii="宋体" w:hAnsi="宋体"/>
                <w:sz w:val="18"/>
                <w:szCs w:val="18"/>
              </w:rPr>
              <w:t>144㎡≥户建筑面积&gt;70㎡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D508EE">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0C1AB1E">
            <w:pPr>
              <w:jc w:val="center"/>
              <w:rPr>
                <w:rFonts w:ascii="宋体" w:hAnsi="宋体"/>
                <w:sz w:val="18"/>
                <w:szCs w:val="18"/>
              </w:rPr>
            </w:pPr>
            <w:r>
              <w:rPr>
                <w:rFonts w:hint="eastAsia" w:ascii="宋体" w:hAnsi="宋体"/>
                <w:sz w:val="18"/>
                <w:szCs w:val="18"/>
              </w:rPr>
              <w:t>0.2</w:t>
            </w:r>
          </w:p>
        </w:tc>
      </w:tr>
      <w:tr w14:paraId="5FB6E50C">
        <w:tblPrEx>
          <w:tblCellMar>
            <w:top w:w="0" w:type="dxa"/>
            <w:left w:w="0" w:type="dxa"/>
            <w:bottom w:w="0" w:type="dxa"/>
            <w:right w:w="0" w:type="dxa"/>
          </w:tblCellMar>
        </w:tblPrEx>
        <w:trPr>
          <w:trHeight w:val="206"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3AF6D9">
            <w:pPr>
              <w:jc w:val="center"/>
              <w:rPr>
                <w:rFonts w:ascii="宋体" w:hAnsi="宋体"/>
                <w:sz w:val="18"/>
                <w:szCs w:val="18"/>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4082AABF">
            <w:pPr>
              <w:jc w:val="center"/>
              <w:rPr>
                <w:rFonts w:ascii="宋体" w:hAnsi="宋体"/>
                <w:sz w:val="18"/>
                <w:szCs w:val="18"/>
              </w:rPr>
            </w:pPr>
          </w:p>
        </w:tc>
        <w:tc>
          <w:tcPr>
            <w:tcW w:w="1925" w:type="dxa"/>
            <w:gridSpan w:val="2"/>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12C540A7">
            <w:pPr>
              <w:jc w:val="center"/>
              <w:rPr>
                <w:rFonts w:ascii="宋体" w:hAnsi="宋体"/>
                <w:sz w:val="18"/>
                <w:szCs w:val="18"/>
              </w:rPr>
            </w:pPr>
            <w:r>
              <w:rPr>
                <w:rFonts w:hint="eastAsia" w:ascii="宋体" w:hAnsi="宋体"/>
                <w:sz w:val="18"/>
                <w:szCs w:val="18"/>
              </w:rPr>
              <w:t>户建筑面积≤70㎡</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C8A747">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5EAB351">
            <w:pPr>
              <w:jc w:val="center"/>
              <w:rPr>
                <w:rFonts w:ascii="宋体" w:hAnsi="宋体"/>
                <w:sz w:val="18"/>
                <w:szCs w:val="18"/>
              </w:rPr>
            </w:pPr>
            <w:r>
              <w:rPr>
                <w:rFonts w:hint="eastAsia" w:ascii="宋体" w:hAnsi="宋体"/>
                <w:sz w:val="18"/>
                <w:szCs w:val="18"/>
              </w:rPr>
              <w:t>0.3</w:t>
            </w:r>
          </w:p>
        </w:tc>
      </w:tr>
      <w:tr w14:paraId="12B908DD">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0177F5">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2D6E924">
            <w:pPr>
              <w:jc w:val="center"/>
              <w:rPr>
                <w:rFonts w:ascii="宋体" w:hAnsi="宋体"/>
                <w:sz w:val="18"/>
                <w:szCs w:val="18"/>
              </w:rPr>
            </w:pPr>
            <w:r>
              <w:rPr>
                <w:rFonts w:hint="eastAsia" w:ascii="宋体" w:hAnsi="宋体"/>
                <w:sz w:val="18"/>
                <w:szCs w:val="18"/>
              </w:rPr>
              <w:t>保障性租赁房、公共租赁房、外口公寓</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D7897B">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02187501">
            <w:pPr>
              <w:jc w:val="center"/>
              <w:rPr>
                <w:rFonts w:ascii="宋体" w:hAnsi="宋体"/>
                <w:sz w:val="18"/>
                <w:szCs w:val="18"/>
              </w:rPr>
            </w:pPr>
            <w:r>
              <w:rPr>
                <w:rFonts w:hint="eastAsia" w:ascii="宋体" w:hAnsi="宋体"/>
                <w:sz w:val="18"/>
                <w:szCs w:val="18"/>
              </w:rPr>
              <w:t>0.4</w:t>
            </w:r>
          </w:p>
        </w:tc>
      </w:tr>
      <w:tr w14:paraId="32DBF08B">
        <w:tblPrEx>
          <w:tblCellMar>
            <w:top w:w="0" w:type="dxa"/>
            <w:left w:w="0" w:type="dxa"/>
            <w:bottom w:w="0" w:type="dxa"/>
            <w:right w:w="0" w:type="dxa"/>
          </w:tblCellMar>
        </w:tblPrEx>
        <w:trPr>
          <w:jc w:val="center"/>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423EFD6">
            <w:pPr>
              <w:jc w:val="center"/>
              <w:rPr>
                <w:rFonts w:ascii="宋体" w:hAnsi="宋体"/>
                <w:sz w:val="18"/>
                <w:szCs w:val="18"/>
              </w:rPr>
            </w:pPr>
            <w:r>
              <w:rPr>
                <w:rFonts w:hint="eastAsia" w:ascii="宋体" w:hAnsi="宋体"/>
                <w:sz w:val="18"/>
                <w:szCs w:val="18"/>
              </w:rPr>
              <w:t>学校</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DDD2F68">
            <w:pPr>
              <w:jc w:val="center"/>
              <w:rPr>
                <w:rFonts w:ascii="宋体" w:hAnsi="宋体"/>
                <w:sz w:val="18"/>
                <w:szCs w:val="18"/>
              </w:rPr>
            </w:pPr>
            <w:r>
              <w:rPr>
                <w:rFonts w:hint="eastAsia" w:ascii="宋体" w:hAnsi="宋体"/>
                <w:sz w:val="18"/>
                <w:szCs w:val="18"/>
              </w:rPr>
              <w:t>大中专院校</w:t>
            </w:r>
          </w:p>
        </w:tc>
        <w:tc>
          <w:tcPr>
            <w:tcW w:w="1584" w:type="dxa"/>
            <w:vMerge w:val="restart"/>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78F0A24">
            <w:pPr>
              <w:jc w:val="center"/>
              <w:rPr>
                <w:rFonts w:ascii="宋体" w:hAnsi="宋体"/>
                <w:sz w:val="18"/>
                <w:szCs w:val="18"/>
              </w:rPr>
            </w:pPr>
            <w:r>
              <w:rPr>
                <w:rFonts w:hint="eastAsia" w:ascii="宋体" w:hAnsi="宋体"/>
                <w:sz w:val="18"/>
                <w:szCs w:val="18"/>
              </w:rPr>
              <w:t>车位/100名学生</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79E845A">
            <w:pPr>
              <w:jc w:val="center"/>
              <w:rPr>
                <w:rFonts w:ascii="宋体" w:hAnsi="宋体"/>
                <w:sz w:val="18"/>
                <w:szCs w:val="18"/>
              </w:rPr>
            </w:pPr>
            <w:r>
              <w:rPr>
                <w:rFonts w:hint="eastAsia" w:ascii="宋体" w:hAnsi="宋体"/>
                <w:sz w:val="18"/>
                <w:szCs w:val="18"/>
              </w:rPr>
              <w:t>30-40</w:t>
            </w:r>
          </w:p>
        </w:tc>
      </w:tr>
      <w:tr w14:paraId="6FADF3DC">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9B0E3E">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658DC54A">
            <w:pPr>
              <w:jc w:val="center"/>
              <w:rPr>
                <w:rFonts w:ascii="宋体" w:hAnsi="宋体"/>
                <w:sz w:val="18"/>
                <w:szCs w:val="18"/>
              </w:rPr>
            </w:pPr>
            <w:r>
              <w:rPr>
                <w:rFonts w:hint="eastAsia" w:ascii="宋体" w:hAnsi="宋体"/>
                <w:sz w:val="18"/>
                <w:szCs w:val="18"/>
              </w:rPr>
              <w:t>中学</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E962E3">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83A2F27">
            <w:pPr>
              <w:jc w:val="center"/>
              <w:rPr>
                <w:rFonts w:ascii="宋体" w:hAnsi="宋体"/>
                <w:sz w:val="18"/>
                <w:szCs w:val="18"/>
              </w:rPr>
            </w:pPr>
            <w:r>
              <w:rPr>
                <w:rFonts w:hint="eastAsia" w:ascii="宋体" w:hAnsi="宋体"/>
                <w:sz w:val="18"/>
                <w:szCs w:val="18"/>
              </w:rPr>
              <w:t>30</w:t>
            </w:r>
          </w:p>
        </w:tc>
      </w:tr>
      <w:tr w14:paraId="10B56B07">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0A8EF8">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DDDA000">
            <w:pPr>
              <w:jc w:val="center"/>
              <w:rPr>
                <w:rFonts w:ascii="宋体" w:hAnsi="宋体"/>
                <w:sz w:val="18"/>
                <w:szCs w:val="18"/>
              </w:rPr>
            </w:pPr>
            <w:r>
              <w:rPr>
                <w:rFonts w:hint="eastAsia" w:ascii="宋体" w:hAnsi="宋体"/>
                <w:sz w:val="18"/>
                <w:szCs w:val="18"/>
              </w:rPr>
              <w:t>小学</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B66FE0E">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4DBC36CD">
            <w:pPr>
              <w:jc w:val="center"/>
              <w:rPr>
                <w:rFonts w:ascii="宋体" w:hAnsi="宋体"/>
                <w:sz w:val="18"/>
                <w:szCs w:val="18"/>
              </w:rPr>
            </w:pPr>
            <w:r>
              <w:rPr>
                <w:rFonts w:hint="eastAsia" w:ascii="宋体" w:hAnsi="宋体"/>
                <w:sz w:val="18"/>
                <w:szCs w:val="18"/>
              </w:rPr>
              <w:t>5</w:t>
            </w:r>
            <w:r>
              <w:rPr>
                <w:rFonts w:ascii="宋体" w:hAnsi="宋体"/>
                <w:sz w:val="18"/>
                <w:szCs w:val="18"/>
              </w:rPr>
              <w:t>.0</w:t>
            </w:r>
          </w:p>
        </w:tc>
      </w:tr>
      <w:tr w14:paraId="423D3DF1">
        <w:tblPrEx>
          <w:tblCellMar>
            <w:top w:w="0" w:type="dxa"/>
            <w:left w:w="0" w:type="dxa"/>
            <w:bottom w:w="0" w:type="dxa"/>
            <w:right w:w="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E7E381">
            <w:pPr>
              <w:jc w:val="center"/>
              <w:rPr>
                <w:rFonts w:ascii="宋体" w:hAnsi="宋体"/>
                <w:sz w:val="18"/>
                <w:szCs w:val="18"/>
              </w:rPr>
            </w:pP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2EAB6AAB">
            <w:pPr>
              <w:jc w:val="center"/>
              <w:rPr>
                <w:rFonts w:ascii="宋体" w:hAnsi="宋体"/>
                <w:sz w:val="18"/>
                <w:szCs w:val="18"/>
              </w:rPr>
            </w:pPr>
            <w:r>
              <w:rPr>
                <w:rFonts w:hint="eastAsia" w:ascii="宋体" w:hAnsi="宋体"/>
                <w:sz w:val="18"/>
                <w:szCs w:val="18"/>
              </w:rPr>
              <w:t>幼儿园</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76444EE">
            <w:pPr>
              <w:jc w:val="center"/>
              <w:rPr>
                <w:rFonts w:ascii="宋体" w:hAnsi="宋体"/>
                <w:sz w:val="18"/>
                <w:szCs w:val="18"/>
              </w:rPr>
            </w:pP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3611B31">
            <w:pPr>
              <w:jc w:val="center"/>
              <w:rPr>
                <w:rFonts w:ascii="宋体" w:hAnsi="宋体"/>
                <w:sz w:val="18"/>
                <w:szCs w:val="18"/>
              </w:rPr>
            </w:pPr>
            <w:r>
              <w:rPr>
                <w:rFonts w:hint="eastAsia" w:ascii="宋体" w:hAnsi="宋体"/>
                <w:sz w:val="18"/>
                <w:szCs w:val="18"/>
              </w:rPr>
              <w:t>3</w:t>
            </w:r>
            <w:r>
              <w:rPr>
                <w:rFonts w:ascii="宋体" w:hAnsi="宋体"/>
                <w:sz w:val="18"/>
                <w:szCs w:val="18"/>
              </w:rPr>
              <w:t>.0</w:t>
            </w:r>
          </w:p>
        </w:tc>
      </w:tr>
      <w:tr w14:paraId="5078A409">
        <w:tblPrEx>
          <w:tblCellMar>
            <w:top w:w="0" w:type="dxa"/>
            <w:left w:w="0" w:type="dxa"/>
            <w:bottom w:w="0" w:type="dxa"/>
            <w:right w:w="0" w:type="dxa"/>
          </w:tblCellMar>
        </w:tblPrEx>
        <w:trPr>
          <w:jc w:val="center"/>
        </w:trPr>
        <w:tc>
          <w:tcPr>
            <w:tcW w:w="783" w:type="dxa"/>
            <w:tcBorders>
              <w:top w:val="single" w:color="000000" w:sz="4" w:space="0"/>
              <w:left w:val="single" w:color="000000" w:sz="4" w:space="0"/>
              <w:bottom w:val="single" w:color="000000" w:sz="4" w:space="0"/>
              <w:right w:val="single" w:color="000000" w:sz="4" w:space="0"/>
            </w:tcBorders>
            <w:shd w:val="clear" w:color="auto" w:fill="F2F2F2"/>
            <w:tcMar>
              <w:top w:w="72" w:type="dxa"/>
              <w:left w:w="144" w:type="dxa"/>
              <w:bottom w:w="72" w:type="dxa"/>
              <w:right w:w="144" w:type="dxa"/>
            </w:tcMar>
            <w:vAlign w:val="center"/>
          </w:tcPr>
          <w:p w14:paraId="6982AE60">
            <w:pPr>
              <w:jc w:val="center"/>
              <w:rPr>
                <w:rFonts w:ascii="宋体" w:hAnsi="宋体"/>
                <w:sz w:val="18"/>
                <w:szCs w:val="18"/>
              </w:rPr>
            </w:pPr>
            <w:r>
              <w:rPr>
                <w:rFonts w:hint="eastAsia" w:ascii="宋体" w:hAnsi="宋体"/>
                <w:sz w:val="18"/>
                <w:szCs w:val="18"/>
              </w:rPr>
              <w:t>其它</w:t>
            </w:r>
          </w:p>
        </w:tc>
        <w:tc>
          <w:tcPr>
            <w:tcW w:w="3529" w:type="dxa"/>
            <w:gridSpan w:val="4"/>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3D05537C">
            <w:pPr>
              <w:jc w:val="center"/>
              <w:rPr>
                <w:rFonts w:ascii="宋体" w:hAnsi="宋体"/>
                <w:sz w:val="18"/>
                <w:szCs w:val="18"/>
              </w:rPr>
            </w:pPr>
            <w:r>
              <w:rPr>
                <w:rFonts w:hint="eastAsia" w:ascii="宋体" w:hAnsi="宋体"/>
                <w:sz w:val="18"/>
                <w:szCs w:val="18"/>
              </w:rPr>
              <w:t>城市公园</w:t>
            </w:r>
          </w:p>
        </w:tc>
        <w:tc>
          <w:tcPr>
            <w:tcW w:w="158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565A5980">
            <w:pPr>
              <w:jc w:val="center"/>
              <w:rPr>
                <w:rFonts w:ascii="宋体" w:hAnsi="宋体"/>
                <w:sz w:val="18"/>
                <w:szCs w:val="18"/>
              </w:rPr>
            </w:pPr>
            <w:r>
              <w:rPr>
                <w:rFonts w:hint="eastAsia" w:ascii="宋体" w:hAnsi="宋体"/>
                <w:sz w:val="18"/>
                <w:szCs w:val="18"/>
              </w:rPr>
              <w:t>车位/1hm² 占地面积</w:t>
            </w:r>
          </w:p>
        </w:tc>
        <w:tc>
          <w:tcPr>
            <w:tcW w:w="1424" w:type="dxa"/>
            <w:tcBorders>
              <w:top w:val="single" w:color="000000" w:sz="4" w:space="0"/>
              <w:left w:val="single" w:color="000000" w:sz="4" w:space="0"/>
              <w:bottom w:val="single" w:color="000000" w:sz="4" w:space="0"/>
              <w:right w:val="single" w:color="000000" w:sz="4" w:space="0"/>
            </w:tcBorders>
            <w:shd w:val="clear" w:color="auto" w:fill="F2F2F2"/>
            <w:tcMar>
              <w:top w:w="3" w:type="dxa"/>
              <w:left w:w="3" w:type="dxa"/>
              <w:bottom w:w="0" w:type="dxa"/>
              <w:right w:w="3" w:type="dxa"/>
            </w:tcMar>
            <w:vAlign w:val="center"/>
          </w:tcPr>
          <w:p w14:paraId="769700A1">
            <w:pPr>
              <w:jc w:val="center"/>
              <w:rPr>
                <w:rFonts w:ascii="宋体" w:hAnsi="宋体"/>
                <w:sz w:val="18"/>
                <w:szCs w:val="18"/>
              </w:rPr>
            </w:pPr>
            <w:r>
              <w:rPr>
                <w:rFonts w:hint="eastAsia" w:ascii="宋体" w:hAnsi="宋体"/>
                <w:sz w:val="18"/>
                <w:szCs w:val="18"/>
              </w:rPr>
              <w:t>3</w:t>
            </w:r>
            <w:r>
              <w:rPr>
                <w:rFonts w:ascii="宋体" w:hAnsi="宋体"/>
                <w:sz w:val="18"/>
                <w:szCs w:val="18"/>
              </w:rPr>
              <w:t>.0</w:t>
            </w:r>
          </w:p>
        </w:tc>
      </w:tr>
    </w:tbl>
    <w:p w14:paraId="715BCFF1">
      <w:pPr>
        <w:pStyle w:val="60"/>
        <w:ind w:firstLine="0" w:firstLineChars="0"/>
      </w:pPr>
    </w:p>
    <w:p w14:paraId="6363638F">
      <w:pPr>
        <w:pStyle w:val="67"/>
        <w:spacing w:before="124" w:after="156"/>
      </w:pPr>
      <w:r>
        <w:rPr>
          <w:rFonts w:hint="eastAsia"/>
          <w:spacing w:val="105"/>
        </w:rPr>
        <w:t>参考文</w:t>
      </w:r>
      <w:r>
        <w:rPr>
          <w:rFonts w:hint="eastAsia"/>
        </w:rPr>
        <w:t>献</w:t>
      </w:r>
    </w:p>
    <w:p w14:paraId="0DF632D8">
      <w:pPr>
        <w:pStyle w:val="60"/>
        <w:ind w:firstLine="420"/>
        <w:rPr>
          <w:rFonts w:hAnsi="宋体" w:cs="宋体"/>
          <w:szCs w:val="21"/>
        </w:rPr>
      </w:pPr>
    </w:p>
    <w:p w14:paraId="234DAE25">
      <w:pPr>
        <w:pStyle w:val="60"/>
        <w:ind w:firstLine="420"/>
        <w:rPr>
          <w:rFonts w:hAnsi="宋体" w:cs="宋体"/>
        </w:rPr>
      </w:pPr>
      <w:r>
        <w:rPr>
          <w:rFonts w:hint="eastAsia" w:hAnsi="宋体" w:cs="宋体"/>
        </w:rPr>
        <w:t>《厦门市</w:t>
      </w:r>
      <w:r>
        <w:rPr>
          <w:rFonts w:hint="eastAsia" w:hAnsi="宋体" w:cs="宋体"/>
          <w:lang w:eastAsia="zh-CN"/>
        </w:rPr>
        <w:t>国土空间规划</w:t>
      </w:r>
      <w:r>
        <w:rPr>
          <w:rFonts w:hint="eastAsia" w:hAnsi="宋体" w:cs="宋体"/>
        </w:rPr>
        <w:t>管理技术规定（2021版）》</w:t>
      </w:r>
    </w:p>
    <w:p w14:paraId="3133E2DD">
      <w:pPr>
        <w:pStyle w:val="60"/>
        <w:ind w:firstLine="420"/>
        <w:rPr>
          <w:rFonts w:hAnsi="宋体" w:cs="宋体"/>
        </w:rPr>
      </w:pPr>
      <w:r>
        <w:rPr>
          <w:rFonts w:hint="eastAsia" w:hAnsi="宋体" w:cs="宋体"/>
        </w:rPr>
        <w:t>《福建省城市规划管理技术规定（2</w:t>
      </w:r>
      <w:r>
        <w:rPr>
          <w:rFonts w:hAnsi="宋体" w:cs="宋体"/>
        </w:rPr>
        <w:t>017</w:t>
      </w:r>
      <w:r>
        <w:rPr>
          <w:rFonts w:hint="eastAsia" w:hAnsi="宋体" w:cs="宋体"/>
        </w:rPr>
        <w:t>版）》</w:t>
      </w:r>
    </w:p>
    <w:p w14:paraId="4F5B5388">
      <w:pPr>
        <w:pStyle w:val="60"/>
        <w:ind w:firstLine="420"/>
        <w:rPr>
          <w:rFonts w:hAnsi="宋体" w:cs="宋体"/>
        </w:rPr>
      </w:pPr>
      <w:r>
        <w:rPr>
          <w:rFonts w:hint="eastAsia" w:hAnsi="宋体" w:cs="宋体"/>
        </w:rPr>
        <w:t>《厦门市建设项目停车设施配建标准（2020版）》</w:t>
      </w:r>
    </w:p>
    <w:p w14:paraId="60CEC7C2">
      <w:pPr>
        <w:pStyle w:val="60"/>
        <w:ind w:firstLine="420"/>
        <w:rPr>
          <w:rFonts w:hAnsi="宋体" w:cs="宋体"/>
        </w:rPr>
      </w:pPr>
      <w:r>
        <w:rPr>
          <w:rFonts w:hint="eastAsia" w:hAnsi="宋体" w:cs="宋体"/>
        </w:rPr>
        <w:t>《厦门市建设局关于进一步完善停车场设置无障碍车位的通知》</w:t>
      </w:r>
    </w:p>
    <w:p w14:paraId="48C95399">
      <w:pPr>
        <w:pStyle w:val="60"/>
        <w:ind w:firstLine="420"/>
        <w:rPr>
          <w:rFonts w:hAnsi="宋体" w:cs="宋体"/>
        </w:rPr>
      </w:pPr>
      <w:r>
        <w:rPr>
          <w:rFonts w:hint="eastAsia" w:hAnsi="宋体" w:cs="宋体"/>
        </w:rPr>
        <w:t>《福建省防空地下室防护标准管理规定》闽人防办（2015）87号</w:t>
      </w:r>
    </w:p>
    <w:p w14:paraId="44A67387">
      <w:pPr>
        <w:pStyle w:val="60"/>
        <w:ind w:firstLine="420"/>
        <w:rPr>
          <w:rFonts w:hAnsi="宋体" w:cs="宋体"/>
        </w:rPr>
      </w:pPr>
      <w:r>
        <w:rPr>
          <w:rFonts w:hint="eastAsia" w:hAnsi="宋体" w:cs="宋体"/>
        </w:rPr>
        <w:t>《福建省防空地下室设计若干技术要求》闽人防办（2018）56号</w:t>
      </w:r>
    </w:p>
    <w:p w14:paraId="097AF721">
      <w:pPr>
        <w:pStyle w:val="60"/>
        <w:ind w:firstLine="420"/>
        <w:rPr>
          <w:rFonts w:hAnsi="宋体" w:cs="宋体"/>
        </w:rPr>
      </w:pPr>
      <w:r>
        <w:rPr>
          <w:rFonts w:hint="eastAsia" w:hAnsi="宋体" w:cs="宋体"/>
          <w:szCs w:val="21"/>
          <w:lang w:bidi="ar"/>
        </w:rPr>
        <w:t>《福建省城市地下空间开发兼顾人民防空需要设计技术标准》闽RF01-2014</w:t>
      </w:r>
    </w:p>
    <w:p w14:paraId="04F6D708">
      <w:pPr>
        <w:pStyle w:val="60"/>
        <w:ind w:firstLine="420"/>
        <w:rPr>
          <w:rFonts w:hAnsi="宋体" w:cs="宋体"/>
        </w:rPr>
      </w:pPr>
      <w:r>
        <w:rPr>
          <w:rFonts w:hint="eastAsia" w:hAnsi="宋体" w:cs="宋体"/>
        </w:rPr>
        <w:t>《福建省人民防空条例》</w:t>
      </w:r>
    </w:p>
    <w:p w14:paraId="51BDBDB0">
      <w:pPr>
        <w:pStyle w:val="60"/>
        <w:ind w:firstLine="420"/>
        <w:rPr>
          <w:rFonts w:hAnsi="宋体" w:cs="宋体"/>
        </w:rPr>
      </w:pPr>
      <w:r>
        <w:rPr>
          <w:rFonts w:hint="eastAsia" w:hAnsi="宋体" w:cs="宋体"/>
        </w:rPr>
        <w:t>《厦门市人民防空管理办法》</w:t>
      </w:r>
    </w:p>
    <w:p w14:paraId="446C28B7">
      <w:pPr>
        <w:pStyle w:val="60"/>
        <w:ind w:firstLine="420"/>
        <w:rPr>
          <w:rFonts w:hAnsi="宋体" w:cs="宋体"/>
        </w:rPr>
      </w:pPr>
      <w:r>
        <w:rPr>
          <w:rFonts w:hint="eastAsia" w:hAnsi="宋体" w:cs="宋体"/>
        </w:rPr>
        <w:t>《厦门市建设项目交通影响评价管理办法》</w:t>
      </w:r>
    </w:p>
    <w:p w14:paraId="67F7E4A9">
      <w:pPr>
        <w:pStyle w:val="60"/>
        <w:ind w:firstLine="420"/>
        <w:rPr>
          <w:rFonts w:hAnsi="宋体" w:cs="宋体"/>
          <w:szCs w:val="21"/>
        </w:rPr>
        <w:sectPr>
          <w:footerReference r:id="rId13" w:type="default"/>
          <w:pgSz w:w="11906" w:h="16838"/>
          <w:pgMar w:top="2410" w:right="1134" w:bottom="1134" w:left="1134" w:header="1418" w:footer="1134" w:gutter="284"/>
          <w:cols w:space="425" w:num="1"/>
          <w:formProt w:val="0"/>
          <w:docGrid w:type="lines" w:linePitch="312" w:charSpace="0"/>
        </w:sectPr>
      </w:pPr>
    </w:p>
    <w:bookmarkEnd w:id="22"/>
    <w:p w14:paraId="67AF093B">
      <w:pPr>
        <w:pStyle w:val="67"/>
        <w:spacing w:before="312" w:beforeLines="100" w:after="312" w:afterLines="100" w:line="360" w:lineRule="auto"/>
        <w:outlineLvl w:val="9"/>
        <w:rPr>
          <w:rFonts w:hAnsi="黑体" w:cs="黑体"/>
          <w:sz w:val="32"/>
          <w:szCs w:val="32"/>
        </w:rPr>
      </w:pPr>
      <w:r>
        <w:rPr>
          <w:rFonts w:hint="eastAsia" w:hAnsi="黑体" w:cs="黑体"/>
          <w:sz w:val="32"/>
          <w:szCs w:val="32"/>
        </w:rPr>
        <w:t>厦门市地方标准</w:t>
      </w:r>
    </w:p>
    <w:p w14:paraId="41C7CEC4">
      <w:pPr>
        <w:pStyle w:val="26"/>
        <w:spacing w:before="312" w:beforeLines="100" w:beforeAutospacing="0" w:after="312" w:afterLines="100" w:afterAutospacing="0"/>
        <w:jc w:val="center"/>
        <w:rPr>
          <w:rFonts w:ascii="黑体" w:eastAsia="黑体" w:cs="黑体"/>
          <w:sz w:val="28"/>
          <w:szCs w:val="28"/>
        </w:rPr>
      </w:pPr>
      <w:r>
        <w:rPr>
          <w:rFonts w:ascii="黑体" w:eastAsia="黑体" w:cs="黑体"/>
          <w:sz w:val="28"/>
          <w:szCs w:val="28"/>
          <w:lang w:bidi="ar"/>
        </w:rPr>
        <w:t>公共停车场（库）技术规范</w:t>
      </w:r>
    </w:p>
    <w:p w14:paraId="59E57F16">
      <w:pPr>
        <w:pStyle w:val="26"/>
        <w:spacing w:before="312" w:beforeLines="100" w:beforeAutospacing="0" w:after="312" w:afterLines="100" w:afterAutospacing="0"/>
        <w:jc w:val="center"/>
        <w:rPr>
          <w:rFonts w:ascii="黑体" w:eastAsia="黑体" w:cs="黑体"/>
          <w:sz w:val="28"/>
          <w:szCs w:val="28"/>
        </w:rPr>
      </w:pPr>
      <w:r>
        <w:rPr>
          <w:rFonts w:ascii="黑体" w:eastAsia="黑体" w:cs="黑体"/>
          <w:sz w:val="28"/>
          <w:szCs w:val="28"/>
          <w:lang w:bidi="ar"/>
        </w:rPr>
        <w:t>DB3502/T XXXX-</w:t>
      </w:r>
      <w:r>
        <w:rPr>
          <w:rFonts w:hint="eastAsia" w:ascii="黑体" w:eastAsia="黑体" w:cs="黑体"/>
          <w:sz w:val="28"/>
          <w:szCs w:val="28"/>
          <w:lang w:bidi="ar"/>
        </w:rPr>
        <w:t>XXXX</w:t>
      </w:r>
    </w:p>
    <w:p w14:paraId="5640DA61">
      <w:pPr>
        <w:pStyle w:val="26"/>
        <w:spacing w:before="312" w:beforeLines="100" w:beforeAutospacing="0" w:after="312" w:afterLines="100" w:afterAutospacing="0"/>
        <w:jc w:val="center"/>
        <w:outlineLvl w:val="0"/>
        <w:rPr>
          <w:rFonts w:ascii="黑体" w:eastAsia="黑体" w:cs="黑体"/>
          <w:sz w:val="28"/>
          <w:szCs w:val="28"/>
          <w:lang w:bidi="ar"/>
        </w:rPr>
      </w:pPr>
      <w:r>
        <w:rPr>
          <w:rFonts w:ascii="黑体" w:eastAsia="黑体" w:cs="黑体"/>
          <w:sz w:val="28"/>
          <w:szCs w:val="28"/>
          <w:lang w:bidi="ar"/>
        </w:rPr>
        <w:t>条文说明</w:t>
      </w:r>
    </w:p>
    <w:p w14:paraId="597340EB">
      <w:pPr>
        <w:pStyle w:val="26"/>
        <w:spacing w:before="312" w:beforeLines="100" w:beforeAutospacing="0" w:after="312" w:afterLines="100" w:afterAutospacing="0"/>
        <w:jc w:val="center"/>
        <w:rPr>
          <w:rFonts w:ascii="黑体" w:eastAsia="黑体" w:cs="黑体"/>
          <w:sz w:val="28"/>
          <w:szCs w:val="28"/>
          <w:lang w:bidi="ar"/>
        </w:rPr>
      </w:pPr>
    </w:p>
    <w:p w14:paraId="7FB2517D">
      <w:pPr>
        <w:pStyle w:val="26"/>
        <w:spacing w:before="312" w:beforeLines="100" w:beforeAutospacing="0" w:after="312" w:afterLines="100" w:afterAutospacing="0"/>
        <w:jc w:val="center"/>
        <w:rPr>
          <w:rFonts w:ascii="黑体" w:eastAsia="黑体" w:cs="黑体"/>
          <w:sz w:val="28"/>
          <w:szCs w:val="28"/>
          <w:lang w:bidi="ar"/>
        </w:rPr>
      </w:pPr>
    </w:p>
    <w:p w14:paraId="18453CBF">
      <w:pPr>
        <w:pStyle w:val="26"/>
        <w:spacing w:before="312" w:beforeLines="100" w:beforeAutospacing="0" w:after="312" w:afterLines="100" w:afterAutospacing="0"/>
        <w:jc w:val="center"/>
        <w:rPr>
          <w:rFonts w:ascii="黑体" w:eastAsia="黑体" w:cs="黑体"/>
          <w:sz w:val="28"/>
          <w:szCs w:val="28"/>
          <w:lang w:bidi="ar"/>
        </w:rPr>
      </w:pPr>
    </w:p>
    <w:p w14:paraId="637A624F">
      <w:pPr>
        <w:pStyle w:val="26"/>
        <w:spacing w:before="312" w:beforeLines="100" w:beforeAutospacing="0" w:after="312" w:afterLines="100" w:afterAutospacing="0"/>
        <w:jc w:val="center"/>
        <w:rPr>
          <w:rFonts w:ascii="黑体" w:eastAsia="黑体" w:cs="黑体"/>
          <w:sz w:val="28"/>
          <w:szCs w:val="28"/>
          <w:lang w:bidi="ar"/>
        </w:rPr>
      </w:pPr>
    </w:p>
    <w:p w14:paraId="62A1B64C">
      <w:pPr>
        <w:pStyle w:val="26"/>
        <w:spacing w:before="312" w:beforeLines="100" w:beforeAutospacing="0" w:after="312" w:afterLines="100" w:afterAutospacing="0"/>
        <w:jc w:val="center"/>
        <w:rPr>
          <w:rFonts w:ascii="黑体" w:eastAsia="黑体" w:cs="黑体"/>
          <w:sz w:val="28"/>
          <w:szCs w:val="28"/>
          <w:lang w:bidi="ar"/>
        </w:rPr>
      </w:pPr>
    </w:p>
    <w:p w14:paraId="310D41A5">
      <w:pPr>
        <w:pStyle w:val="26"/>
        <w:spacing w:before="312" w:beforeLines="100" w:beforeAutospacing="0" w:after="312" w:afterLines="100" w:afterAutospacing="0"/>
        <w:jc w:val="center"/>
        <w:rPr>
          <w:rFonts w:ascii="黑体" w:eastAsia="黑体" w:cs="黑体"/>
          <w:sz w:val="28"/>
          <w:szCs w:val="28"/>
          <w:lang w:bidi="ar"/>
        </w:rPr>
      </w:pPr>
    </w:p>
    <w:p w14:paraId="0D7A2216">
      <w:pPr>
        <w:pStyle w:val="26"/>
        <w:spacing w:before="312" w:beforeLines="100" w:beforeAutospacing="0" w:after="312" w:afterLines="100" w:afterAutospacing="0"/>
        <w:jc w:val="center"/>
        <w:rPr>
          <w:rFonts w:ascii="黑体" w:eastAsia="黑体" w:cs="黑体"/>
          <w:sz w:val="28"/>
          <w:szCs w:val="28"/>
          <w:lang w:bidi="ar"/>
        </w:rPr>
      </w:pPr>
    </w:p>
    <w:p w14:paraId="71D5ED84">
      <w:pPr>
        <w:pStyle w:val="26"/>
        <w:spacing w:before="312" w:beforeLines="100" w:beforeAutospacing="0" w:after="312" w:afterLines="100" w:afterAutospacing="0"/>
        <w:jc w:val="center"/>
        <w:rPr>
          <w:rFonts w:ascii="黑体" w:eastAsia="黑体" w:cs="黑体"/>
          <w:sz w:val="28"/>
          <w:szCs w:val="28"/>
          <w:lang w:bidi="ar"/>
        </w:rPr>
      </w:pPr>
    </w:p>
    <w:p w14:paraId="3FE79C36">
      <w:pPr>
        <w:pStyle w:val="26"/>
        <w:spacing w:before="312" w:beforeLines="100" w:beforeAutospacing="0" w:after="312" w:afterLines="100" w:afterAutospacing="0"/>
        <w:jc w:val="center"/>
        <w:rPr>
          <w:rFonts w:ascii="黑体" w:eastAsia="黑体" w:cs="黑体"/>
          <w:sz w:val="28"/>
          <w:szCs w:val="28"/>
          <w:lang w:bidi="ar"/>
        </w:rPr>
      </w:pPr>
    </w:p>
    <w:p w14:paraId="4E3D31DF">
      <w:pPr>
        <w:pStyle w:val="26"/>
        <w:spacing w:before="312" w:beforeLines="100" w:beforeAutospacing="0" w:after="312" w:afterLines="100" w:afterAutospacing="0"/>
        <w:jc w:val="center"/>
        <w:rPr>
          <w:rFonts w:ascii="黑体" w:eastAsia="黑体" w:cs="黑体"/>
          <w:sz w:val="28"/>
          <w:szCs w:val="28"/>
          <w:lang w:bidi="ar"/>
        </w:rPr>
      </w:pPr>
    </w:p>
    <w:p w14:paraId="7C3BA421">
      <w:pPr>
        <w:jc w:val="center"/>
        <w:rPr>
          <w:rFonts w:ascii="黑体" w:hAnsi="宋体" w:eastAsia="黑体" w:cs="黑体"/>
          <w:sz w:val="28"/>
          <w:szCs w:val="28"/>
        </w:rPr>
      </w:pPr>
      <w:r>
        <w:rPr>
          <w:rFonts w:ascii="黑体" w:hAnsi="宋体" w:eastAsia="黑体" w:cs="黑体"/>
          <w:sz w:val="28"/>
          <w:szCs w:val="28"/>
          <w:lang w:bidi="ar"/>
        </w:rPr>
        <w:t>制 定 说 明</w:t>
      </w:r>
    </w:p>
    <w:p w14:paraId="50DFC857">
      <w:pPr>
        <w:rPr>
          <w:rFonts w:ascii="黑体" w:hAnsi="宋体" w:eastAsia="黑体" w:cs="黑体"/>
          <w:sz w:val="28"/>
          <w:szCs w:val="28"/>
        </w:rPr>
      </w:pPr>
      <w:r>
        <w:rPr>
          <w:rFonts w:ascii="黑体" w:hAnsi="宋体" w:eastAsia="黑体" w:cs="黑体"/>
          <w:sz w:val="28"/>
          <w:szCs w:val="28"/>
          <w:lang w:bidi="ar"/>
        </w:rPr>
        <w:t xml:space="preserve"> </w:t>
      </w:r>
    </w:p>
    <w:p w14:paraId="154A952E">
      <w:pPr>
        <w:spacing w:line="240" w:lineRule="auto"/>
        <w:ind w:firstLine="420" w:firstLineChars="200"/>
        <w:rPr>
          <w:rFonts w:ascii="宋体" w:hAnsi="宋体" w:cs="宋体"/>
          <w:lang w:bidi="ar"/>
        </w:rPr>
      </w:pPr>
      <w:r>
        <w:rPr>
          <w:rFonts w:hint="eastAsia" w:ascii="宋体" w:hAnsi="宋体" w:cs="宋体"/>
          <w:lang w:bidi="ar"/>
        </w:rPr>
        <w:t>为便于广大设计、科研等单位的有关人员在使用本规范时能正确理解和执行条文规定，《公共停车场（库）技术规范》编制组按章、节、条顺序编制了本规范条文说明，对条文的目的、依据以及执行中需注意的有关事项进行了说明。但是，本条文说明不具备与规范正文同等的法律效力，仅供使用者作为理解和把握规范规定的参考。</w:t>
      </w:r>
    </w:p>
    <w:p w14:paraId="335A3286">
      <w:pPr>
        <w:pStyle w:val="26"/>
        <w:spacing w:before="312" w:beforeLines="100" w:beforeAutospacing="0" w:after="312" w:afterLines="100" w:afterAutospacing="0"/>
        <w:jc w:val="both"/>
        <w:rPr>
          <w:rFonts w:ascii="黑体" w:eastAsia="黑体" w:cs="黑体"/>
          <w:sz w:val="28"/>
          <w:szCs w:val="28"/>
          <w:lang w:bidi="ar"/>
        </w:rPr>
      </w:pPr>
    </w:p>
    <w:p w14:paraId="7A4F7C92">
      <w:pPr>
        <w:pStyle w:val="203"/>
        <w:rPr>
          <w:vanish w:val="0"/>
        </w:rPr>
      </w:pPr>
    </w:p>
    <w:p w14:paraId="2D55B165">
      <w:pPr>
        <w:pStyle w:val="60"/>
        <w:ind w:firstLine="420"/>
      </w:pPr>
    </w:p>
    <w:p w14:paraId="57DAAB15">
      <w:pPr>
        <w:pStyle w:val="60"/>
        <w:ind w:firstLine="420"/>
      </w:pPr>
    </w:p>
    <w:p w14:paraId="427762C6">
      <w:pPr>
        <w:pStyle w:val="60"/>
        <w:ind w:firstLine="420"/>
      </w:pPr>
    </w:p>
    <w:p w14:paraId="15CB42A6">
      <w:pPr>
        <w:pStyle w:val="60"/>
        <w:ind w:firstLine="420"/>
      </w:pPr>
    </w:p>
    <w:p w14:paraId="1BACEE1C">
      <w:pPr>
        <w:pStyle w:val="60"/>
        <w:ind w:firstLine="420"/>
      </w:pPr>
    </w:p>
    <w:p w14:paraId="76904033">
      <w:pPr>
        <w:pStyle w:val="60"/>
        <w:ind w:firstLine="420"/>
      </w:pPr>
    </w:p>
    <w:p w14:paraId="305E4672">
      <w:pPr>
        <w:pStyle w:val="60"/>
        <w:ind w:firstLine="420"/>
      </w:pPr>
    </w:p>
    <w:p w14:paraId="7F581CFC">
      <w:pPr>
        <w:pStyle w:val="60"/>
        <w:ind w:firstLine="420"/>
      </w:pPr>
    </w:p>
    <w:p w14:paraId="1AF83055">
      <w:pPr>
        <w:pStyle w:val="60"/>
        <w:ind w:firstLine="420"/>
      </w:pPr>
    </w:p>
    <w:p w14:paraId="710F580C">
      <w:pPr>
        <w:pStyle w:val="60"/>
        <w:ind w:firstLine="420"/>
      </w:pPr>
    </w:p>
    <w:p w14:paraId="0CC1A53B">
      <w:pPr>
        <w:pStyle w:val="60"/>
        <w:ind w:firstLine="420"/>
      </w:pPr>
    </w:p>
    <w:p w14:paraId="42E725D5">
      <w:pPr>
        <w:pStyle w:val="60"/>
        <w:ind w:firstLine="420"/>
      </w:pPr>
    </w:p>
    <w:p w14:paraId="6E3C3A0C">
      <w:pPr>
        <w:pStyle w:val="60"/>
        <w:ind w:firstLine="420"/>
      </w:pPr>
    </w:p>
    <w:p w14:paraId="7C6B36C0">
      <w:pPr>
        <w:pStyle w:val="60"/>
        <w:ind w:firstLine="420"/>
      </w:pPr>
    </w:p>
    <w:p w14:paraId="764E25BC">
      <w:pPr>
        <w:pStyle w:val="60"/>
        <w:ind w:firstLine="420"/>
      </w:pPr>
    </w:p>
    <w:p w14:paraId="4F58FBB6">
      <w:pPr>
        <w:pStyle w:val="60"/>
        <w:ind w:firstLine="420"/>
      </w:pPr>
    </w:p>
    <w:p w14:paraId="5769F69B">
      <w:pPr>
        <w:pStyle w:val="60"/>
        <w:ind w:firstLine="420"/>
      </w:pPr>
    </w:p>
    <w:p w14:paraId="001F1B00">
      <w:pPr>
        <w:pStyle w:val="60"/>
        <w:ind w:firstLine="420"/>
      </w:pPr>
    </w:p>
    <w:p w14:paraId="252F4D95">
      <w:pPr>
        <w:pStyle w:val="60"/>
        <w:ind w:firstLine="420"/>
      </w:pPr>
    </w:p>
    <w:p w14:paraId="72C349D4">
      <w:pPr>
        <w:pStyle w:val="60"/>
        <w:ind w:firstLine="420"/>
      </w:pPr>
    </w:p>
    <w:p w14:paraId="5B6FEC28">
      <w:pPr>
        <w:pStyle w:val="60"/>
        <w:ind w:firstLine="420"/>
      </w:pPr>
    </w:p>
    <w:p w14:paraId="1942E494">
      <w:pPr>
        <w:pStyle w:val="60"/>
        <w:ind w:firstLine="420"/>
      </w:pPr>
    </w:p>
    <w:p w14:paraId="5EE21328">
      <w:pPr>
        <w:pStyle w:val="60"/>
        <w:ind w:firstLine="420"/>
      </w:pPr>
    </w:p>
    <w:p w14:paraId="1380D80A">
      <w:pPr>
        <w:pStyle w:val="60"/>
        <w:ind w:firstLine="420"/>
      </w:pPr>
    </w:p>
    <w:p w14:paraId="5400167C">
      <w:pPr>
        <w:pStyle w:val="60"/>
        <w:ind w:firstLine="420"/>
      </w:pPr>
    </w:p>
    <w:p w14:paraId="2D25C965">
      <w:pPr>
        <w:pStyle w:val="60"/>
        <w:ind w:firstLine="420"/>
      </w:pPr>
    </w:p>
    <w:p w14:paraId="7956E329">
      <w:pPr>
        <w:pStyle w:val="60"/>
        <w:ind w:firstLine="420"/>
      </w:pPr>
    </w:p>
    <w:p w14:paraId="63A4CAE7">
      <w:pPr>
        <w:pStyle w:val="60"/>
        <w:ind w:firstLine="420"/>
      </w:pPr>
    </w:p>
    <w:p w14:paraId="3A9A4DE5">
      <w:pPr>
        <w:pStyle w:val="60"/>
        <w:ind w:firstLine="420"/>
      </w:pPr>
    </w:p>
    <w:p w14:paraId="5B7AD0C6">
      <w:pPr>
        <w:pStyle w:val="60"/>
        <w:ind w:firstLine="420"/>
      </w:pPr>
    </w:p>
    <w:p w14:paraId="16AEAD30">
      <w:pPr>
        <w:pStyle w:val="60"/>
        <w:ind w:firstLine="420"/>
      </w:pPr>
    </w:p>
    <w:p w14:paraId="20A7F87C">
      <w:pPr>
        <w:pStyle w:val="95"/>
        <w:spacing w:after="468"/>
      </w:pPr>
      <w:r>
        <w:rPr>
          <w:spacing w:val="320"/>
        </w:rPr>
        <w:t>目</w:t>
      </w:r>
      <w:r>
        <w:t>次</w:t>
      </w:r>
    </w:p>
    <w:p w14:paraId="0A211726">
      <w:pPr>
        <w:pStyle w:val="20"/>
        <w:tabs>
          <w:tab w:val="right" w:leader="dot" w:pos="9344"/>
        </w:tabs>
        <w:rPr>
          <w:rFonts w:hint="eastAsia" w:eastAsia="宋体" w:asciiTheme="minorHAnsi" w:hAnsiTheme="minorHAnsi" w:cstheme="minorBidi"/>
          <w:szCs w:val="22"/>
          <w:lang w:val="en-US" w:eastAsia="zh-CN"/>
        </w:rPr>
      </w:pPr>
      <w:r>
        <w:fldChar w:fldCharType="begin"/>
      </w:r>
      <w:r>
        <w:instrText xml:space="preserve"> HYPERLINK \l "_Toc87452563" </w:instrText>
      </w:r>
      <w:r>
        <w:fldChar w:fldCharType="separate"/>
      </w:r>
      <w:r>
        <w:rPr>
          <w:rStyle w:val="35"/>
        </w:rPr>
        <w:t>1 范围</w:t>
      </w:r>
      <w:r>
        <w:tab/>
      </w:r>
      <w:r>
        <w:rPr>
          <w:rFonts w:hint="eastAsia"/>
          <w:lang w:val="en-US" w:eastAsia="zh-CN"/>
        </w:rPr>
        <w:t>3</w:t>
      </w:r>
      <w:r>
        <w:fldChar w:fldCharType="end"/>
      </w:r>
      <w:r>
        <w:rPr>
          <w:rFonts w:hint="eastAsia"/>
          <w:lang w:val="en-US" w:eastAsia="zh-CN"/>
        </w:rPr>
        <w:t>4</w:t>
      </w:r>
    </w:p>
    <w:p w14:paraId="1310CE3A">
      <w:pPr>
        <w:pStyle w:val="20"/>
        <w:tabs>
          <w:tab w:val="right" w:leader="dot" w:pos="9344"/>
        </w:tabs>
        <w:rPr>
          <w:rFonts w:hint="eastAsia" w:hAnsi="宋体" w:eastAsia="宋体" w:cs="宋体"/>
          <w:lang w:val="en-US" w:eastAsia="zh-CN"/>
        </w:rPr>
      </w:pPr>
      <w:r>
        <w:fldChar w:fldCharType="begin"/>
      </w:r>
      <w:r>
        <w:instrText xml:space="preserve"> HYPERLINK \l "_Toc87452564" </w:instrText>
      </w:r>
      <w:r>
        <w:fldChar w:fldCharType="separate"/>
      </w:r>
      <w:r>
        <w:rPr>
          <w:rStyle w:val="35"/>
          <w:rFonts w:hint="eastAsia" w:hAnsi="宋体" w:cs="宋体"/>
        </w:rPr>
        <w:t>2 规范性引用文件</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4</w:t>
      </w:r>
    </w:p>
    <w:p w14:paraId="22A54357">
      <w:pPr>
        <w:pStyle w:val="20"/>
        <w:tabs>
          <w:tab w:val="right" w:leader="dot" w:pos="9344"/>
        </w:tabs>
        <w:rPr>
          <w:rFonts w:hint="eastAsia" w:eastAsia="宋体"/>
          <w:lang w:val="en-US" w:eastAsia="zh-CN"/>
        </w:rPr>
      </w:pPr>
      <w:r>
        <w:fldChar w:fldCharType="begin"/>
      </w:r>
      <w:r>
        <w:instrText xml:space="preserve"> HYPERLINK \l "_Toc87452564" </w:instrText>
      </w:r>
      <w:r>
        <w:fldChar w:fldCharType="separate"/>
      </w:r>
      <w:r>
        <w:rPr>
          <w:rFonts w:hint="eastAsia" w:hAnsi="宋体" w:cs="宋体"/>
        </w:rPr>
        <w:t>3</w:t>
      </w:r>
      <w:r>
        <w:rPr>
          <w:rStyle w:val="35"/>
          <w:rFonts w:hint="eastAsia" w:hAnsi="宋体" w:cs="宋体"/>
        </w:rPr>
        <w:t xml:space="preserve"> 术语和定义</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4</w:t>
      </w:r>
    </w:p>
    <w:p w14:paraId="3F94F947">
      <w:pPr>
        <w:pStyle w:val="20"/>
        <w:tabs>
          <w:tab w:val="right" w:leader="dot" w:pos="9344"/>
        </w:tabs>
        <w:rPr>
          <w:rFonts w:hint="eastAsia" w:hAnsi="宋体" w:eastAsia="宋体" w:cs="宋体"/>
          <w:lang w:val="en-US" w:eastAsia="zh-CN"/>
        </w:rPr>
      </w:pPr>
      <w:r>
        <w:fldChar w:fldCharType="begin"/>
      </w:r>
      <w:r>
        <w:instrText xml:space="preserve"> HYPERLINK \l "_Toc87452565" </w:instrText>
      </w:r>
      <w:r>
        <w:fldChar w:fldCharType="separate"/>
      </w:r>
      <w:r>
        <w:rPr>
          <w:rFonts w:hint="eastAsia" w:hAnsi="宋体" w:cs="宋体"/>
        </w:rPr>
        <w:t>4</w:t>
      </w:r>
      <w:r>
        <w:rPr>
          <w:rStyle w:val="35"/>
          <w:rFonts w:hint="eastAsia" w:hAnsi="宋体" w:cs="宋体"/>
        </w:rPr>
        <w:t xml:space="preserve"> </w:t>
      </w:r>
      <w:r>
        <w:rPr>
          <w:rFonts w:hint="eastAsia" w:hAnsi="宋体" w:cs="宋体"/>
        </w:rPr>
        <w:t>基本规定</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4</w:t>
      </w:r>
    </w:p>
    <w:p w14:paraId="7FC56DE1">
      <w:pPr>
        <w:pStyle w:val="20"/>
        <w:tabs>
          <w:tab w:val="right" w:leader="dot" w:pos="9344"/>
        </w:tabs>
        <w:rPr>
          <w:rFonts w:hint="eastAsia" w:hAnsi="宋体" w:eastAsia="宋体" w:cs="宋体"/>
          <w:lang w:val="en-US" w:eastAsia="zh-CN"/>
        </w:rPr>
      </w:pPr>
      <w:r>
        <w:fldChar w:fldCharType="begin"/>
      </w:r>
      <w:r>
        <w:instrText xml:space="preserve"> HYPERLINK \l "_Toc87452565" </w:instrText>
      </w:r>
      <w:r>
        <w:fldChar w:fldCharType="separate"/>
      </w:r>
      <w:r>
        <w:rPr>
          <w:rFonts w:hint="eastAsia" w:hAnsi="宋体" w:cs="宋体"/>
        </w:rPr>
        <w:t>5</w:t>
      </w:r>
      <w:r>
        <w:rPr>
          <w:rStyle w:val="35"/>
          <w:rFonts w:hint="eastAsia" w:hAnsi="宋体" w:cs="宋体"/>
        </w:rPr>
        <w:t xml:space="preserve"> 建设规模与构成</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5</w:t>
      </w:r>
    </w:p>
    <w:p w14:paraId="6D546B1A">
      <w:pPr>
        <w:pStyle w:val="20"/>
        <w:tabs>
          <w:tab w:val="right" w:leader="dot" w:pos="9344"/>
        </w:tabs>
        <w:ind w:firstLine="210" w:firstLineChars="100"/>
        <w:rPr>
          <w:rFonts w:hint="eastAsia" w:hAnsi="宋体" w:eastAsia="宋体" w:cs="宋体"/>
          <w:lang w:val="en-US" w:eastAsia="zh-CN"/>
        </w:rPr>
      </w:pPr>
      <w:r>
        <w:rPr>
          <w:rFonts w:hint="eastAsia" w:hAnsi="宋体" w:cs="宋体"/>
          <w:lang w:val="en-US" w:eastAsia="zh-CN"/>
        </w:rPr>
        <w:t>5.1</w:t>
      </w:r>
      <w:r>
        <w:rPr>
          <w:rFonts w:hint="eastAsia" w:hAnsi="宋体" w:cs="宋体"/>
        </w:rPr>
        <w:t xml:space="preserve"> </w:t>
      </w:r>
      <w:r>
        <w:fldChar w:fldCharType="begin"/>
      </w:r>
      <w:r>
        <w:instrText xml:space="preserve"> HYPERLINK \l "_Toc87452565" </w:instrText>
      </w:r>
      <w:r>
        <w:fldChar w:fldCharType="separate"/>
      </w:r>
      <w:r>
        <w:rPr>
          <w:rFonts w:hint="eastAsia" w:hAnsi="宋体" w:cs="宋体"/>
        </w:rPr>
        <w:t>停车场（库）</w:t>
      </w:r>
      <w:r>
        <w:rPr>
          <w:rFonts w:hint="eastAsia" w:hAnsi="宋体" w:cs="宋体"/>
          <w:lang w:val="en-US" w:eastAsia="zh-CN"/>
        </w:rPr>
        <w:t>建设规模</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5</w:t>
      </w:r>
    </w:p>
    <w:p w14:paraId="2D545397">
      <w:pPr>
        <w:pStyle w:val="20"/>
        <w:tabs>
          <w:tab w:val="right" w:leader="dot" w:pos="9344"/>
        </w:tabs>
        <w:ind w:firstLine="210" w:firstLineChars="100"/>
        <w:rPr>
          <w:rFonts w:hint="eastAsia" w:eastAsia="宋体"/>
          <w:lang w:val="en-US" w:eastAsia="zh-CN"/>
        </w:rPr>
      </w:pPr>
      <w:r>
        <w:rPr>
          <w:rFonts w:hint="eastAsia" w:hAnsi="宋体" w:cs="宋体"/>
          <w:lang w:val="en-US" w:eastAsia="zh-CN"/>
        </w:rPr>
        <w:t>5.2</w:t>
      </w:r>
      <w:r>
        <w:rPr>
          <w:rFonts w:hint="eastAsia" w:hAnsi="宋体" w:cs="宋体"/>
        </w:rPr>
        <w:t xml:space="preserve"> </w:t>
      </w:r>
      <w:r>
        <w:fldChar w:fldCharType="begin"/>
      </w:r>
      <w:r>
        <w:instrText xml:space="preserve"> HYPERLINK \l "_Toc87452565" </w:instrText>
      </w:r>
      <w:r>
        <w:fldChar w:fldCharType="separate"/>
      </w:r>
      <w:r>
        <w:rPr>
          <w:rFonts w:hint="eastAsia" w:hAnsi="宋体" w:cs="宋体"/>
        </w:rPr>
        <w:t>停车场（库）</w:t>
      </w:r>
      <w:r>
        <w:rPr>
          <w:rFonts w:hint="eastAsia" w:hAnsi="宋体" w:cs="宋体"/>
          <w:lang w:val="en-US" w:eastAsia="zh-CN"/>
        </w:rPr>
        <w:t>设施构成</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5</w:t>
      </w:r>
    </w:p>
    <w:p w14:paraId="4CBEBC5B">
      <w:pPr>
        <w:pStyle w:val="20"/>
        <w:tabs>
          <w:tab w:val="right" w:leader="dot" w:pos="9344"/>
        </w:tabs>
        <w:rPr>
          <w:rFonts w:hint="eastAsia" w:hAnsi="宋体" w:eastAsia="宋体" w:cs="宋体"/>
          <w:lang w:val="en-US" w:eastAsia="zh-CN"/>
        </w:rPr>
      </w:pPr>
      <w:r>
        <w:rPr>
          <w:rFonts w:hint="eastAsia"/>
        </w:rPr>
        <w:t>6 基地</w:t>
      </w:r>
      <w:r>
        <w:fldChar w:fldCharType="begin"/>
      </w:r>
      <w:r>
        <w:instrText xml:space="preserve"> HYPERLINK \l "_Toc87452565" </w:instrText>
      </w:r>
      <w:r>
        <w:fldChar w:fldCharType="separate"/>
      </w:r>
      <w:r>
        <w:rPr>
          <w:rFonts w:hint="eastAsia" w:hAnsi="宋体" w:cs="宋体"/>
        </w:rPr>
        <w:t>和总平面</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5</w:t>
      </w:r>
    </w:p>
    <w:p w14:paraId="4CDEAFBF">
      <w:pPr>
        <w:pStyle w:val="20"/>
        <w:tabs>
          <w:tab w:val="right" w:leader="dot" w:pos="9344"/>
        </w:tabs>
        <w:rPr>
          <w:rFonts w:hint="eastAsia" w:hAnsi="宋体" w:eastAsia="宋体" w:cs="宋体"/>
          <w:lang w:val="en-US" w:eastAsia="zh-CN"/>
        </w:rPr>
      </w:pPr>
      <w:r>
        <w:rPr>
          <w:rFonts w:hint="eastAsia" w:hAnsi="宋体" w:cs="宋体"/>
        </w:rPr>
        <w:t xml:space="preserve">7 </w:t>
      </w:r>
      <w:r>
        <w:fldChar w:fldCharType="begin"/>
      </w:r>
      <w:r>
        <w:instrText xml:space="preserve"> HYPERLINK \l "_Toc87452565" </w:instrText>
      </w:r>
      <w:r>
        <w:fldChar w:fldCharType="separate"/>
      </w:r>
      <w:r>
        <w:rPr>
          <w:rFonts w:hint="eastAsia" w:hAnsi="宋体" w:cs="宋体"/>
        </w:rPr>
        <w:t>公共停车场（库）</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6</w:t>
      </w:r>
    </w:p>
    <w:p w14:paraId="485D1083">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7.1 </w:t>
      </w:r>
      <w:r>
        <w:fldChar w:fldCharType="begin"/>
      </w:r>
      <w:r>
        <w:instrText xml:space="preserve"> HYPERLINK \l "_Toc87452565" </w:instrText>
      </w:r>
      <w:r>
        <w:fldChar w:fldCharType="separate"/>
      </w:r>
      <w:r>
        <w:rPr>
          <w:rFonts w:hint="eastAsia" w:hAnsi="宋体" w:cs="宋体"/>
        </w:rPr>
        <w:t>机动车停车场（库）</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6</w:t>
      </w:r>
    </w:p>
    <w:p w14:paraId="2C17283F">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7.1.1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6</w:t>
      </w:r>
    </w:p>
    <w:p w14:paraId="65DC1EE3">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7.1.2 </w:t>
      </w:r>
      <w:r>
        <w:fldChar w:fldCharType="begin"/>
      </w:r>
      <w:r>
        <w:instrText xml:space="preserve"> HYPERLINK \l "_Toc87452565" </w:instrText>
      </w:r>
      <w:r>
        <w:fldChar w:fldCharType="separate"/>
      </w:r>
      <w:r>
        <w:rPr>
          <w:rFonts w:hint="eastAsia" w:hAnsi="宋体" w:cs="宋体"/>
        </w:rPr>
        <w:t>出入口及坡道</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7</w:t>
      </w:r>
    </w:p>
    <w:p w14:paraId="0528746D">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7.1.3 </w:t>
      </w:r>
      <w:r>
        <w:fldChar w:fldCharType="begin"/>
      </w:r>
      <w:r>
        <w:instrText xml:space="preserve"> HYPERLINK \l "_Toc87452565" </w:instrText>
      </w:r>
      <w:r>
        <w:fldChar w:fldCharType="separate"/>
      </w:r>
      <w:r>
        <w:rPr>
          <w:rFonts w:hint="eastAsia" w:hAnsi="宋体" w:cs="宋体"/>
        </w:rPr>
        <w:t>停车区域</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8</w:t>
      </w:r>
    </w:p>
    <w:p w14:paraId="61AE0914">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7.1.4 </w:t>
      </w:r>
      <w:r>
        <w:fldChar w:fldCharType="begin"/>
      </w:r>
      <w:r>
        <w:instrText xml:space="preserve"> HYPERLINK \l "_Toc87452565" </w:instrText>
      </w:r>
      <w:r>
        <w:fldChar w:fldCharType="separate"/>
      </w:r>
      <w:r>
        <w:rPr>
          <w:rFonts w:hint="eastAsia" w:hAnsi="宋体" w:cs="宋体"/>
        </w:rPr>
        <w:t>地面公共停车场</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8</w:t>
      </w:r>
    </w:p>
    <w:p w14:paraId="2D39B279">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7.2 </w:t>
      </w:r>
      <w:r>
        <w:fldChar w:fldCharType="begin"/>
      </w:r>
      <w:r>
        <w:instrText xml:space="preserve"> HYPERLINK \l "_Toc87452565" </w:instrText>
      </w:r>
      <w:r>
        <w:fldChar w:fldCharType="separate"/>
      </w:r>
      <w:r>
        <w:rPr>
          <w:rFonts w:hint="eastAsia" w:hAnsi="宋体" w:cs="宋体"/>
        </w:rPr>
        <w:t>非机动车停车场（库）</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8</w:t>
      </w:r>
    </w:p>
    <w:p w14:paraId="44391066">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7.3 </w:t>
      </w:r>
      <w:r>
        <w:fldChar w:fldCharType="begin"/>
      </w:r>
      <w:r>
        <w:instrText xml:space="preserve"> HYPERLINK \l "_Toc87452565" </w:instrText>
      </w:r>
      <w:r>
        <w:fldChar w:fldCharType="separate"/>
      </w:r>
      <w:r>
        <w:rPr>
          <w:rFonts w:hint="eastAsia" w:hAnsi="宋体" w:cs="宋体"/>
        </w:rPr>
        <w:t>人民防空地下室</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8</w:t>
      </w:r>
    </w:p>
    <w:p w14:paraId="31610512">
      <w:pPr>
        <w:pStyle w:val="20"/>
        <w:tabs>
          <w:tab w:val="right" w:leader="dot" w:pos="9344"/>
        </w:tabs>
        <w:rPr>
          <w:rFonts w:hint="eastAsia" w:hAnsi="宋体" w:eastAsia="宋体" w:cs="宋体"/>
          <w:lang w:val="en-US" w:eastAsia="zh-CN"/>
        </w:rPr>
      </w:pPr>
      <w:r>
        <w:rPr>
          <w:rFonts w:hint="eastAsia" w:hAnsi="宋体" w:cs="宋体"/>
        </w:rPr>
        <w:t xml:space="preserve">8 </w:t>
      </w:r>
      <w:r>
        <w:fldChar w:fldCharType="begin"/>
      </w:r>
      <w:r>
        <w:instrText xml:space="preserve"> HYPERLINK \l "_Toc87452565" </w:instrText>
      </w:r>
      <w:r>
        <w:fldChar w:fldCharType="separate"/>
      </w:r>
      <w:r>
        <w:rPr>
          <w:rFonts w:hint="eastAsia" w:hAnsi="宋体" w:cs="宋体"/>
        </w:rPr>
        <w:t>路内停车位</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9</w:t>
      </w:r>
    </w:p>
    <w:p w14:paraId="107FAADF">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8.1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9</w:t>
      </w:r>
    </w:p>
    <w:p w14:paraId="411DA7D0">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8.2 </w:t>
      </w:r>
      <w:r>
        <w:fldChar w:fldCharType="begin"/>
      </w:r>
      <w:r>
        <w:instrText xml:space="preserve"> HYPERLINK \l "_Toc87452565" </w:instrText>
      </w:r>
      <w:r>
        <w:fldChar w:fldCharType="separate"/>
      </w:r>
      <w:r>
        <w:rPr>
          <w:rFonts w:hint="eastAsia" w:hAnsi="宋体" w:cs="宋体"/>
        </w:rPr>
        <w:t>设置条件</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9</w:t>
      </w:r>
    </w:p>
    <w:p w14:paraId="792F846D">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8.3 </w:t>
      </w:r>
      <w:r>
        <w:fldChar w:fldCharType="begin"/>
      </w:r>
      <w:r>
        <w:instrText xml:space="preserve"> HYPERLINK \l "_Toc87452565" </w:instrText>
      </w:r>
      <w:r>
        <w:fldChar w:fldCharType="separate"/>
      </w:r>
      <w:r>
        <w:rPr>
          <w:rFonts w:hint="eastAsia" w:hAnsi="宋体" w:cs="宋体"/>
        </w:rPr>
        <w:t>停车位设计</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9</w:t>
      </w:r>
    </w:p>
    <w:p w14:paraId="59EB78C9">
      <w:pPr>
        <w:pStyle w:val="20"/>
        <w:tabs>
          <w:tab w:val="right" w:leader="dot" w:pos="9344"/>
        </w:tabs>
        <w:rPr>
          <w:rFonts w:hint="eastAsia" w:hAnsi="宋体" w:eastAsia="宋体" w:cs="宋体"/>
          <w:lang w:val="en-US" w:eastAsia="zh-CN"/>
        </w:rPr>
      </w:pPr>
      <w:r>
        <w:rPr>
          <w:rFonts w:hint="eastAsia" w:hAnsi="宋体" w:cs="宋体"/>
        </w:rPr>
        <w:t xml:space="preserve">9 </w:t>
      </w:r>
      <w:r>
        <w:fldChar w:fldCharType="begin"/>
      </w:r>
      <w:r>
        <w:instrText xml:space="preserve"> HYPERLINK \l "_Toc87452565" </w:instrText>
      </w:r>
      <w:r>
        <w:fldChar w:fldCharType="separate"/>
      </w:r>
      <w:r>
        <w:rPr>
          <w:rFonts w:hint="eastAsia" w:hAnsi="宋体" w:cs="宋体"/>
        </w:rPr>
        <w:t>无障碍停车位</w:t>
      </w:r>
      <w:r>
        <w:rPr>
          <w:rFonts w:hint="eastAsia" w:hAnsi="宋体" w:cs="宋体"/>
        </w:rPr>
        <w:tab/>
      </w:r>
      <w:r>
        <w:rPr>
          <w:rFonts w:hint="eastAsia" w:hAnsi="宋体" w:cs="宋体"/>
          <w:lang w:val="en-US" w:eastAsia="zh-CN"/>
        </w:rPr>
        <w:t>3</w:t>
      </w:r>
      <w:r>
        <w:rPr>
          <w:rFonts w:hint="eastAsia" w:hAnsi="宋体" w:cs="宋体"/>
        </w:rPr>
        <w:fldChar w:fldCharType="end"/>
      </w:r>
      <w:r>
        <w:rPr>
          <w:rFonts w:hint="eastAsia" w:hAnsi="宋体" w:cs="宋体"/>
          <w:lang w:val="en-US" w:eastAsia="zh-CN"/>
        </w:rPr>
        <w:t>9</w:t>
      </w:r>
    </w:p>
    <w:p w14:paraId="12B176BB">
      <w:pPr>
        <w:pStyle w:val="20"/>
        <w:tabs>
          <w:tab w:val="right" w:leader="dot" w:pos="9344"/>
        </w:tabs>
        <w:rPr>
          <w:rFonts w:hint="eastAsia" w:hAnsi="宋体" w:eastAsia="宋体" w:cs="宋体"/>
          <w:lang w:val="en-US" w:eastAsia="zh-CN"/>
        </w:rPr>
      </w:pPr>
      <w:r>
        <w:rPr>
          <w:rFonts w:hint="eastAsia" w:hAnsi="宋体" w:cs="宋体"/>
        </w:rPr>
        <w:t xml:space="preserve">10 </w:t>
      </w:r>
      <w:r>
        <w:fldChar w:fldCharType="begin"/>
      </w:r>
      <w:r>
        <w:instrText xml:space="preserve"> HYPERLINK \l "_Toc87452565" </w:instrText>
      </w:r>
      <w:r>
        <w:fldChar w:fldCharType="separate"/>
      </w:r>
      <w:r>
        <w:rPr>
          <w:rFonts w:hint="eastAsia" w:hAnsi="宋体" w:cs="宋体"/>
        </w:rPr>
        <w:t>电动汽车分散充电设施</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2DF30932">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10.1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23023822">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10.2 </w:t>
      </w:r>
      <w:r>
        <w:fldChar w:fldCharType="begin"/>
      </w:r>
      <w:r>
        <w:instrText xml:space="preserve"> HYPERLINK \l "_Toc87452565" </w:instrText>
      </w:r>
      <w:r>
        <w:fldChar w:fldCharType="separate"/>
      </w:r>
      <w:r>
        <w:rPr>
          <w:rFonts w:hint="eastAsia" w:hAnsi="宋体" w:cs="宋体"/>
        </w:rPr>
        <w:t>设计要求</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134EFB71">
      <w:pPr>
        <w:pStyle w:val="20"/>
        <w:tabs>
          <w:tab w:val="right" w:leader="dot" w:pos="9344"/>
        </w:tabs>
        <w:rPr>
          <w:rFonts w:hint="eastAsia" w:hAnsi="宋体" w:eastAsia="宋体" w:cs="宋体"/>
          <w:lang w:val="en-US" w:eastAsia="zh-CN"/>
        </w:rPr>
      </w:pPr>
      <w:r>
        <w:rPr>
          <w:rFonts w:hint="eastAsia" w:hAnsi="宋体" w:cs="宋体"/>
        </w:rPr>
        <w:t xml:space="preserve">11 </w:t>
      </w:r>
      <w:r>
        <w:fldChar w:fldCharType="begin"/>
      </w:r>
      <w:r>
        <w:instrText xml:space="preserve"> HYPERLINK \l "_Toc87452565" </w:instrText>
      </w:r>
      <w:r>
        <w:fldChar w:fldCharType="separate"/>
      </w:r>
      <w:r>
        <w:rPr>
          <w:rFonts w:hint="eastAsia" w:hAnsi="宋体" w:cs="宋体"/>
        </w:rPr>
        <w:t>智能化系统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5CC7B25E">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11.1 </w:t>
      </w:r>
      <w:r>
        <w:fldChar w:fldCharType="begin"/>
      </w:r>
      <w:r>
        <w:instrText xml:space="preserve"> HYPERLINK \l "_Toc87452565" </w:instrText>
      </w:r>
      <w:r>
        <w:fldChar w:fldCharType="separate"/>
      </w:r>
      <w:r>
        <w:rPr>
          <w:rFonts w:hint="eastAsia" w:hAnsi="宋体" w:cs="宋体"/>
        </w:rPr>
        <w:t>智能设备数据接口要求</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4A978A64">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11.1.1 </w:t>
      </w:r>
      <w:r>
        <w:fldChar w:fldCharType="begin"/>
      </w:r>
      <w:r>
        <w:instrText xml:space="preserve"> HYPERLINK \l "_Toc87452565" </w:instrText>
      </w:r>
      <w:r>
        <w:fldChar w:fldCharType="separate"/>
      </w:r>
      <w:r>
        <w:rPr>
          <w:rFonts w:hint="eastAsia" w:hAnsi="宋体" w:cs="宋体"/>
        </w:rPr>
        <w:t>一般规定</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0</w:t>
      </w:r>
    </w:p>
    <w:p w14:paraId="1B71180D">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11.1.2 </w:t>
      </w:r>
      <w:r>
        <w:fldChar w:fldCharType="begin"/>
      </w:r>
      <w:r>
        <w:instrText xml:space="preserve"> HYPERLINK \l "_Toc87452565" </w:instrText>
      </w:r>
      <w:r>
        <w:fldChar w:fldCharType="separate"/>
      </w:r>
      <w:r>
        <w:rPr>
          <w:rFonts w:hint="eastAsia" w:hAnsi="宋体" w:cs="宋体"/>
        </w:rPr>
        <w:t>停车诱导系统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31960AAC">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11.1.3 </w:t>
      </w:r>
      <w:r>
        <w:fldChar w:fldCharType="begin"/>
      </w:r>
      <w:r>
        <w:instrText xml:space="preserve"> HYPERLINK \l "_Toc87452565" </w:instrText>
      </w:r>
      <w:r>
        <w:fldChar w:fldCharType="separate"/>
      </w:r>
      <w:r>
        <w:rPr>
          <w:rFonts w:hint="eastAsia" w:hAnsi="宋体" w:cs="宋体"/>
          <w:lang w:val="en-US" w:eastAsia="zh-CN"/>
        </w:rPr>
        <w:t>停车收费管理</w:t>
      </w:r>
      <w:r>
        <w:rPr>
          <w:rFonts w:hint="eastAsia" w:hAnsi="宋体" w:cs="宋体"/>
        </w:rPr>
        <w:t>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3C71EAA3">
      <w:pPr>
        <w:pStyle w:val="20"/>
        <w:tabs>
          <w:tab w:val="right" w:leader="dot" w:pos="9344"/>
        </w:tabs>
        <w:ind w:firstLine="420" w:firstLineChars="200"/>
        <w:rPr>
          <w:rFonts w:hint="eastAsia" w:hAnsi="宋体" w:eastAsia="宋体" w:cs="宋体"/>
          <w:lang w:val="en-US" w:eastAsia="zh-CN"/>
        </w:rPr>
      </w:pPr>
      <w:r>
        <w:rPr>
          <w:rFonts w:hint="eastAsia" w:hAnsi="宋体" w:cs="宋体"/>
        </w:rPr>
        <w:t>11.1.</w:t>
      </w:r>
      <w:r>
        <w:rPr>
          <w:rFonts w:hint="eastAsia" w:hAnsi="宋体" w:cs="宋体"/>
          <w:lang w:val="en-US" w:eastAsia="zh-CN"/>
        </w:rPr>
        <w:t>4</w:t>
      </w:r>
      <w:r>
        <w:rPr>
          <w:rFonts w:hint="eastAsia" w:hAnsi="宋体" w:cs="宋体"/>
        </w:rPr>
        <w:t xml:space="preserve"> </w:t>
      </w:r>
      <w:r>
        <w:fldChar w:fldCharType="begin"/>
      </w:r>
      <w:r>
        <w:instrText xml:space="preserve"> HYPERLINK \l "_Toc87452565" </w:instrText>
      </w:r>
      <w:r>
        <w:fldChar w:fldCharType="separate"/>
      </w:r>
      <w:r>
        <w:rPr>
          <w:rFonts w:hint="eastAsia" w:hAnsi="宋体" w:cs="宋体"/>
        </w:rPr>
        <w:t>视频监控系统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5DB9A2A5">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11.2 </w:t>
      </w:r>
      <w:r>
        <w:fldChar w:fldCharType="begin"/>
      </w:r>
      <w:r>
        <w:instrText xml:space="preserve"> HYPERLINK \l "_Toc87452565" </w:instrText>
      </w:r>
      <w:r>
        <w:fldChar w:fldCharType="separate"/>
      </w:r>
      <w:r>
        <w:rPr>
          <w:rFonts w:hint="eastAsia" w:hAnsi="宋体" w:cs="宋体"/>
        </w:rPr>
        <w:t>智能设施要求</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639B0A6B">
      <w:pPr>
        <w:pStyle w:val="20"/>
        <w:tabs>
          <w:tab w:val="right" w:leader="dot" w:pos="9344"/>
        </w:tabs>
        <w:rPr>
          <w:rFonts w:hint="eastAsia" w:hAnsi="宋体" w:eastAsia="宋体" w:cs="宋体"/>
          <w:lang w:val="en-US" w:eastAsia="zh-CN"/>
        </w:rPr>
      </w:pPr>
      <w:r>
        <w:rPr>
          <w:rFonts w:hint="eastAsia" w:hAnsi="宋体" w:cs="宋体"/>
        </w:rPr>
        <w:t xml:space="preserve">12 </w:t>
      </w:r>
      <w:r>
        <w:fldChar w:fldCharType="begin"/>
      </w:r>
      <w:r>
        <w:instrText xml:space="preserve"> HYPERLINK \l "_Toc87452565" </w:instrText>
      </w:r>
      <w:r>
        <w:fldChar w:fldCharType="separate"/>
      </w:r>
      <w:r>
        <w:rPr>
          <w:rFonts w:hint="eastAsia" w:hAnsi="宋体" w:cs="宋体"/>
        </w:rPr>
        <w:t>其他技术要求</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5854726C">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12.1 </w:t>
      </w:r>
      <w:r>
        <w:fldChar w:fldCharType="begin"/>
      </w:r>
      <w:r>
        <w:instrText xml:space="preserve"> HYPERLINK \l "_Toc87452565" </w:instrText>
      </w:r>
      <w:r>
        <w:fldChar w:fldCharType="separate"/>
      </w:r>
      <w:r>
        <w:rPr>
          <w:rFonts w:hint="eastAsia" w:hAnsi="宋体" w:cs="宋体"/>
        </w:rPr>
        <w:t>建筑标准</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5D1A2C12">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12.2 </w:t>
      </w:r>
      <w:r>
        <w:fldChar w:fldCharType="begin"/>
      </w:r>
      <w:r>
        <w:instrText xml:space="preserve"> HYPERLINK \l "_Toc87452565" </w:instrText>
      </w:r>
      <w:r>
        <w:fldChar w:fldCharType="separate"/>
      </w:r>
      <w:r>
        <w:rPr>
          <w:rFonts w:hint="eastAsia" w:hAnsi="宋体" w:cs="宋体"/>
        </w:rPr>
        <w:t>建筑设备</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22BDAE49">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12.2.1 </w:t>
      </w:r>
      <w:r>
        <w:fldChar w:fldCharType="begin"/>
      </w:r>
      <w:r>
        <w:instrText xml:space="preserve"> HYPERLINK \l "_Toc87452565" </w:instrText>
      </w:r>
      <w:r>
        <w:fldChar w:fldCharType="separate"/>
      </w:r>
      <w:r>
        <w:rPr>
          <w:rFonts w:hint="eastAsia" w:hAnsi="宋体" w:cs="宋体"/>
        </w:rPr>
        <w:t>给排水系统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703F34F1">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12.2.2 </w:t>
      </w:r>
      <w:r>
        <w:fldChar w:fldCharType="begin"/>
      </w:r>
      <w:r>
        <w:instrText xml:space="preserve"> HYPERLINK \l "_Toc87452565" </w:instrText>
      </w:r>
      <w:r>
        <w:fldChar w:fldCharType="separate"/>
      </w:r>
      <w:r>
        <w:rPr>
          <w:rFonts w:hint="eastAsia" w:hAnsi="宋体" w:cs="宋体"/>
        </w:rPr>
        <w:t>通风（智能通风）系统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1</w:t>
      </w:r>
    </w:p>
    <w:p w14:paraId="4F8BD3BD">
      <w:pPr>
        <w:pStyle w:val="20"/>
        <w:tabs>
          <w:tab w:val="right" w:leader="dot" w:pos="9344"/>
        </w:tabs>
        <w:ind w:firstLine="420" w:firstLineChars="200"/>
        <w:rPr>
          <w:rFonts w:hint="eastAsia" w:hAnsi="宋体" w:eastAsia="宋体" w:cs="宋体"/>
          <w:lang w:val="en-US" w:eastAsia="zh-CN"/>
        </w:rPr>
      </w:pPr>
      <w:r>
        <w:rPr>
          <w:rFonts w:hint="eastAsia" w:hAnsi="宋体" w:cs="宋体"/>
        </w:rPr>
        <w:t xml:space="preserve">12.2.3 </w:t>
      </w:r>
      <w:r>
        <w:fldChar w:fldCharType="begin"/>
      </w:r>
      <w:r>
        <w:instrText xml:space="preserve"> HYPERLINK \l "_Toc87452565" </w:instrText>
      </w:r>
      <w:r>
        <w:fldChar w:fldCharType="separate"/>
      </w:r>
      <w:r>
        <w:rPr>
          <w:rFonts w:hint="eastAsia" w:hAnsi="宋体" w:cs="宋体"/>
        </w:rPr>
        <w:t>电气系统</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2</w:t>
      </w:r>
    </w:p>
    <w:p w14:paraId="1B62FA67">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12.3 </w:t>
      </w:r>
      <w:r>
        <w:fldChar w:fldCharType="begin"/>
      </w:r>
      <w:r>
        <w:instrText xml:space="preserve"> HYPERLINK \l "_Toc87452565" </w:instrText>
      </w:r>
      <w:r>
        <w:fldChar w:fldCharType="separate"/>
      </w:r>
      <w:r>
        <w:rPr>
          <w:rFonts w:hint="eastAsia" w:hAnsi="宋体" w:cs="宋体"/>
        </w:rPr>
        <w:t>安全防护设施</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2</w:t>
      </w:r>
    </w:p>
    <w:p w14:paraId="4F47347B">
      <w:pPr>
        <w:pStyle w:val="20"/>
        <w:tabs>
          <w:tab w:val="right" w:leader="dot" w:pos="9344"/>
        </w:tabs>
        <w:ind w:firstLine="210" w:firstLineChars="100"/>
        <w:rPr>
          <w:rFonts w:hint="eastAsia" w:hAnsi="宋体" w:eastAsia="宋体" w:cs="宋体"/>
          <w:lang w:val="en-US" w:eastAsia="zh-CN"/>
        </w:rPr>
      </w:pPr>
      <w:r>
        <w:rPr>
          <w:rFonts w:hint="eastAsia" w:hAnsi="宋体" w:cs="宋体"/>
        </w:rPr>
        <w:t xml:space="preserve">12.4 </w:t>
      </w:r>
      <w:r>
        <w:fldChar w:fldCharType="begin"/>
      </w:r>
      <w:r>
        <w:instrText xml:space="preserve"> HYPERLINK \l "_Toc87452565" </w:instrText>
      </w:r>
      <w:r>
        <w:fldChar w:fldCharType="separate"/>
      </w:r>
      <w:r>
        <w:rPr>
          <w:rFonts w:hint="eastAsia" w:hAnsi="宋体" w:cs="宋体"/>
        </w:rPr>
        <w:t>环境保护设施</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2</w:t>
      </w:r>
    </w:p>
    <w:p w14:paraId="777E0B17">
      <w:pPr>
        <w:pStyle w:val="20"/>
        <w:tabs>
          <w:tab w:val="right" w:leader="dot" w:pos="9344"/>
        </w:tabs>
        <w:rPr>
          <w:rFonts w:hint="eastAsia" w:hAnsi="宋体" w:eastAsia="宋体" w:cs="宋体"/>
          <w:lang w:val="en-US" w:eastAsia="zh-CN"/>
        </w:rPr>
      </w:pPr>
      <w:r>
        <w:rPr>
          <w:rFonts w:hint="eastAsia" w:hAnsi="宋体" w:cs="宋体"/>
        </w:rPr>
        <w:t xml:space="preserve">12.5 </w:t>
      </w:r>
      <w:r>
        <w:fldChar w:fldCharType="begin"/>
      </w:r>
      <w:r>
        <w:instrText xml:space="preserve"> HYPERLINK \l "_Toc87452565" </w:instrText>
      </w:r>
      <w:r>
        <w:fldChar w:fldCharType="separate"/>
      </w:r>
      <w:r>
        <w:rPr>
          <w:rFonts w:hint="eastAsia" w:hAnsi="宋体" w:cs="宋体"/>
        </w:rPr>
        <w:t>交通工程设施</w:t>
      </w:r>
      <w:r>
        <w:rPr>
          <w:rFonts w:hint="eastAsia" w:hAnsi="宋体" w:cs="宋体"/>
        </w:rPr>
        <w:tab/>
      </w:r>
      <w:r>
        <w:rPr>
          <w:rFonts w:hint="eastAsia" w:hAnsi="宋体" w:cs="宋体"/>
          <w:lang w:val="en-US" w:eastAsia="zh-CN"/>
        </w:rPr>
        <w:t>4</w:t>
      </w:r>
      <w:r>
        <w:rPr>
          <w:rFonts w:hint="eastAsia" w:hAnsi="宋体" w:cs="宋体"/>
        </w:rPr>
        <w:fldChar w:fldCharType="end"/>
      </w:r>
      <w:r>
        <w:rPr>
          <w:rFonts w:hint="eastAsia" w:hAnsi="宋体" w:cs="宋体"/>
          <w:lang w:val="en-US" w:eastAsia="zh-CN"/>
        </w:rPr>
        <w:t>2</w:t>
      </w:r>
    </w:p>
    <w:p w14:paraId="46B08ABD">
      <w:pPr>
        <w:rPr>
          <w:rFonts w:ascii="宋体" w:hAnsi="宋体" w:cs="宋体"/>
        </w:rPr>
      </w:pPr>
    </w:p>
    <w:p w14:paraId="6B161683">
      <w:pPr>
        <w:pStyle w:val="2"/>
        <w:rPr>
          <w:rFonts w:ascii="宋体" w:hAnsi="宋体" w:cs="宋体"/>
        </w:rPr>
      </w:pPr>
    </w:p>
    <w:p w14:paraId="01376143">
      <w:pPr>
        <w:pStyle w:val="2"/>
        <w:rPr>
          <w:rFonts w:ascii="宋体" w:hAnsi="宋体" w:cs="宋体"/>
        </w:rPr>
      </w:pPr>
    </w:p>
    <w:p w14:paraId="146E1ED0">
      <w:pPr>
        <w:pStyle w:val="2"/>
        <w:rPr>
          <w:rFonts w:ascii="宋体" w:hAnsi="宋体" w:cs="宋体"/>
        </w:rPr>
      </w:pPr>
    </w:p>
    <w:p w14:paraId="6784120D">
      <w:pPr>
        <w:pStyle w:val="2"/>
        <w:rPr>
          <w:rFonts w:ascii="宋体" w:hAnsi="宋体" w:cs="宋体"/>
        </w:rPr>
      </w:pPr>
    </w:p>
    <w:p w14:paraId="73CC85C6">
      <w:pPr>
        <w:pStyle w:val="2"/>
        <w:rPr>
          <w:rFonts w:ascii="宋体" w:hAnsi="宋体" w:cs="宋体"/>
        </w:rPr>
      </w:pPr>
    </w:p>
    <w:p w14:paraId="649108DF">
      <w:pPr>
        <w:pStyle w:val="2"/>
        <w:rPr>
          <w:rFonts w:ascii="宋体" w:hAnsi="宋体" w:cs="宋体"/>
        </w:rPr>
      </w:pPr>
    </w:p>
    <w:p w14:paraId="6539EABA">
      <w:pPr>
        <w:pStyle w:val="2"/>
        <w:rPr>
          <w:rFonts w:ascii="宋体" w:hAnsi="宋体" w:cs="宋体"/>
        </w:rPr>
      </w:pPr>
    </w:p>
    <w:p w14:paraId="191BF74D">
      <w:pPr>
        <w:pStyle w:val="2"/>
        <w:rPr>
          <w:rFonts w:ascii="宋体" w:hAnsi="宋体" w:cs="宋体"/>
        </w:rPr>
      </w:pPr>
    </w:p>
    <w:p w14:paraId="0A1563FF">
      <w:pPr>
        <w:pStyle w:val="2"/>
        <w:rPr>
          <w:rFonts w:ascii="宋体" w:hAnsi="宋体" w:cs="宋体"/>
        </w:rPr>
      </w:pPr>
    </w:p>
    <w:p w14:paraId="51BE1668">
      <w:pPr>
        <w:pStyle w:val="2"/>
        <w:rPr>
          <w:rFonts w:ascii="宋体" w:hAnsi="宋体" w:cs="宋体"/>
        </w:rPr>
      </w:pPr>
    </w:p>
    <w:p w14:paraId="5DCF4D7F">
      <w:pPr>
        <w:pStyle w:val="2"/>
        <w:rPr>
          <w:rFonts w:ascii="宋体" w:hAnsi="宋体" w:cs="宋体"/>
        </w:rPr>
      </w:pPr>
    </w:p>
    <w:p w14:paraId="705D2ABA">
      <w:pPr>
        <w:pStyle w:val="2"/>
        <w:rPr>
          <w:rFonts w:ascii="宋体" w:hAnsi="宋体" w:cs="宋体"/>
        </w:rPr>
      </w:pPr>
    </w:p>
    <w:p w14:paraId="1D86EEF3">
      <w:pPr>
        <w:pStyle w:val="2"/>
        <w:rPr>
          <w:rFonts w:ascii="宋体" w:hAnsi="宋体" w:cs="宋体"/>
        </w:rPr>
      </w:pPr>
    </w:p>
    <w:p w14:paraId="0DA0D3E2">
      <w:pPr>
        <w:pStyle w:val="2"/>
        <w:rPr>
          <w:rFonts w:ascii="宋体" w:hAnsi="宋体" w:cs="宋体"/>
        </w:rPr>
      </w:pPr>
    </w:p>
    <w:p w14:paraId="12FE2566">
      <w:pPr>
        <w:pStyle w:val="2"/>
        <w:rPr>
          <w:rFonts w:ascii="宋体" w:hAnsi="宋体" w:cs="宋体"/>
        </w:rPr>
      </w:pPr>
    </w:p>
    <w:p w14:paraId="1E1C5C95">
      <w:pPr>
        <w:pStyle w:val="108"/>
        <w:numPr>
          <w:ilvl w:val="1"/>
          <w:numId w:val="35"/>
        </w:numPr>
        <w:spacing w:before="312" w:after="312"/>
        <w:outlineLvl w:val="9"/>
      </w:pPr>
      <w:r>
        <w:rPr>
          <w:rFonts w:hint="eastAsia"/>
        </w:rPr>
        <w:t>范围</w:t>
      </w:r>
    </w:p>
    <w:p w14:paraId="6AB62FE6">
      <w:pPr>
        <w:pStyle w:val="60"/>
        <w:ind w:firstLine="420"/>
      </w:pPr>
      <w:r>
        <w:rPr>
          <w:rFonts w:hint="eastAsia"/>
          <w:lang w:val="en-US" w:eastAsia="zh-CN"/>
        </w:rPr>
        <w:t>明确</w:t>
      </w:r>
      <w:r>
        <w:rPr>
          <w:rFonts w:hint="eastAsia"/>
        </w:rPr>
        <w:t>本文件适用</w:t>
      </w:r>
      <w:r>
        <w:rPr>
          <w:rFonts w:hint="eastAsia"/>
          <w:lang w:val="en-US" w:eastAsia="zh-CN"/>
        </w:rPr>
        <w:t>范围为</w:t>
      </w:r>
      <w:r>
        <w:t>我</w:t>
      </w:r>
      <w:r>
        <w:rPr>
          <w:rFonts w:hint="eastAsia"/>
        </w:rPr>
        <w:t>市</w:t>
      </w:r>
      <w:r>
        <w:t>的各类</w:t>
      </w:r>
      <w:r>
        <w:rPr>
          <w:rFonts w:hint="eastAsia"/>
        </w:rPr>
        <w:t>新建、改建、扩建的公共停车场（库），包括建筑物配建</w:t>
      </w:r>
      <w:r>
        <w:t>公共</w:t>
      </w:r>
      <w:r>
        <w:rPr>
          <w:rFonts w:hint="eastAsia"/>
        </w:rPr>
        <w:t>停车场(库)、城市公共停车场（库）及路内停车位的设置。</w:t>
      </w:r>
    </w:p>
    <w:p w14:paraId="47D23C8C">
      <w:pPr>
        <w:pStyle w:val="60"/>
        <w:ind w:firstLine="420"/>
      </w:pPr>
      <w:r>
        <w:rPr>
          <w:rFonts w:hAnsi="宋体" w:cs="宋体"/>
        </w:rPr>
        <w:t>因公共停车场（库）</w:t>
      </w:r>
      <w:r>
        <w:t>所涉及的专业较多，相关专业还制定有相应的标准。因此公共停车场（库）除应执行本</w:t>
      </w:r>
      <w:r>
        <w:rPr>
          <w:rFonts w:hint="eastAsia"/>
        </w:rPr>
        <w:t>文件</w:t>
      </w:r>
      <w:r>
        <w:t>外，还应符合国家、福建省和厦门市</w:t>
      </w:r>
      <w:r>
        <w:rPr>
          <w:rFonts w:hint="eastAsia"/>
        </w:rPr>
        <w:t>现行</w:t>
      </w:r>
      <w:r>
        <w:t>的</w:t>
      </w:r>
      <w:r>
        <w:rPr>
          <w:rFonts w:hint="eastAsia"/>
        </w:rPr>
        <w:t>有关标准的规</w:t>
      </w:r>
      <w:r>
        <w:t>定。</w:t>
      </w:r>
    </w:p>
    <w:p w14:paraId="53B2B187">
      <w:pPr>
        <w:pStyle w:val="108"/>
        <w:spacing w:before="312" w:after="312"/>
        <w:outlineLvl w:val="9"/>
      </w:pPr>
      <w:r>
        <w:rPr>
          <w:rFonts w:hint="eastAsia"/>
        </w:rPr>
        <w:t>规范性引用文件</w:t>
      </w:r>
    </w:p>
    <w:p w14:paraId="16BC33C0">
      <w:pPr>
        <w:pStyle w:val="108"/>
        <w:spacing w:before="312" w:after="312"/>
        <w:outlineLvl w:val="9"/>
      </w:pPr>
      <w:r>
        <w:rPr>
          <w:rFonts w:hint="eastAsia"/>
        </w:rPr>
        <w:t>术语和定义</w:t>
      </w:r>
    </w:p>
    <w:p w14:paraId="58BE7B01">
      <w:pPr>
        <w:pStyle w:val="108"/>
        <w:spacing w:before="312" w:after="312"/>
        <w:outlineLvl w:val="9"/>
      </w:pPr>
      <w:r>
        <w:rPr>
          <w:rFonts w:hint="eastAsia"/>
        </w:rPr>
        <w:t>基本规定</w:t>
      </w:r>
    </w:p>
    <w:p w14:paraId="3553E07F">
      <w:pPr>
        <w:pStyle w:val="108"/>
        <w:numPr>
          <w:ilvl w:val="1"/>
          <w:numId w:val="0"/>
        </w:numPr>
        <w:spacing w:before="0" w:beforeLines="0" w:after="0" w:afterLines="0"/>
        <w:outlineLvl w:val="9"/>
        <w:rPr>
          <w:rFonts w:ascii="宋体" w:hAnsi="宋体" w:eastAsia="宋体" w:cs="宋体"/>
          <w:szCs w:val="21"/>
        </w:rPr>
      </w:pPr>
      <w:r>
        <w:rPr>
          <w:rFonts w:hint="eastAsia" w:hAnsi="黑体" w:cs="黑体"/>
          <w:bCs/>
          <w:szCs w:val="21"/>
          <w:lang w:bidi="ar"/>
        </w:rPr>
        <w:t xml:space="preserve">4.1  </w:t>
      </w:r>
      <w:r>
        <w:rPr>
          <w:rFonts w:hint="eastAsia" w:ascii="宋体" w:hAnsi="宋体" w:eastAsia="宋体" w:cs="宋体"/>
          <w:kern w:val="2"/>
          <w:szCs w:val="21"/>
          <w:lang w:bidi="ar"/>
        </w:rPr>
        <w:t xml:space="preserve">为提供合适的车位供给量，避免配给不足或配给浪费，结合《厦门市建设项目停车设施配建标准（2020版）》，根据人口分布、用地发展、建设及交通条件，执行差异化停车供应及管理政策，将厦门市建成区范围内划分为三类停车分区（详见附录A）： </w:t>
      </w:r>
    </w:p>
    <w:p w14:paraId="6D8C4C2B">
      <w:pPr>
        <w:spacing w:line="240" w:lineRule="auto"/>
        <w:ind w:firstLine="210" w:firstLineChars="100"/>
        <w:rPr>
          <w:rFonts w:ascii="宋体" w:hAnsi="宋体" w:cs="宋体"/>
          <w:lang w:bidi="ar"/>
        </w:rPr>
      </w:pPr>
      <w:r>
        <w:rPr>
          <w:rFonts w:hint="eastAsia" w:ascii="黑体" w:hAnsi="黑体" w:eastAsia="黑体" w:cs="黑体"/>
          <w:lang w:bidi="ar"/>
        </w:rPr>
        <w:t>1</w:t>
      </w:r>
      <w:r>
        <w:rPr>
          <w:rFonts w:hint="eastAsia" w:ascii="宋体" w:hAnsi="宋体" w:cs="宋体"/>
          <w:lang w:bidi="ar"/>
        </w:rPr>
        <w:t xml:space="preserve">  限制供应区：岛内核心区，区域停车供需矛盾突出，公共停车设施供给应提高，补齐停车缺口；</w:t>
      </w:r>
    </w:p>
    <w:p w14:paraId="62C21FDA">
      <w:pPr>
        <w:spacing w:line="240" w:lineRule="auto"/>
        <w:ind w:firstLine="210" w:firstLineChars="100"/>
        <w:rPr>
          <w:rFonts w:ascii="宋体" w:hAnsi="宋体" w:cs="宋体"/>
        </w:rPr>
      </w:pPr>
      <w:r>
        <w:rPr>
          <w:rFonts w:hint="eastAsia" w:ascii="黑体" w:hAnsi="黑体" w:eastAsia="黑体" w:cs="黑体"/>
          <w:lang w:bidi="ar"/>
        </w:rPr>
        <w:t>2</w:t>
      </w:r>
      <w:r>
        <w:rPr>
          <w:rFonts w:hint="eastAsia" w:ascii="宋体" w:hAnsi="宋体" w:cs="宋体"/>
          <w:lang w:bidi="ar"/>
        </w:rPr>
        <w:t xml:space="preserve">  平衡供应区：岛内其他地区、岛外临湾及中心城区，区域开发强度较大、公交条件较好、用地条件兼备，公共停车设施供给应适度控制；</w:t>
      </w:r>
    </w:p>
    <w:p w14:paraId="19C8846D">
      <w:pPr>
        <w:spacing w:line="240" w:lineRule="auto"/>
        <w:ind w:firstLine="210" w:firstLineChars="100"/>
      </w:pPr>
      <w:r>
        <w:rPr>
          <w:rFonts w:hint="eastAsia" w:ascii="黑体" w:hAnsi="黑体" w:eastAsia="黑体" w:cs="黑体"/>
          <w:lang w:bidi="ar"/>
        </w:rPr>
        <w:t>3</w:t>
      </w:r>
      <w:r>
        <w:rPr>
          <w:rFonts w:hint="eastAsia" w:ascii="宋体" w:hAnsi="宋体" w:cs="宋体"/>
          <w:lang w:bidi="ar"/>
        </w:rPr>
        <w:t xml:space="preserve">  充分供应区：岛外其他区，路网条件较好，主要为增量用地、配建停车供给总体充足，公共停车供给应适当降低。</w:t>
      </w:r>
    </w:p>
    <w:p w14:paraId="3ECA5939">
      <w:pPr>
        <w:pStyle w:val="108"/>
        <w:numPr>
          <w:ilvl w:val="1"/>
          <w:numId w:val="0"/>
        </w:numPr>
        <w:spacing w:before="0" w:beforeLines="0" w:after="0" w:afterLines="0"/>
        <w:outlineLvl w:val="9"/>
        <w:rPr>
          <w:rFonts w:hAnsi="宋体"/>
          <w:szCs w:val="21"/>
        </w:rPr>
      </w:pPr>
      <w:r>
        <w:rPr>
          <w:rFonts w:hint="eastAsia" w:hAnsi="黑体" w:cs="黑体"/>
          <w:bCs/>
          <w:szCs w:val="21"/>
          <w:lang w:bidi="ar"/>
        </w:rPr>
        <w:t>4.3</w:t>
      </w:r>
      <w:r>
        <w:rPr>
          <w:rFonts w:hAnsi="黑体" w:cs="黑体"/>
          <w:bCs/>
          <w:szCs w:val="21"/>
          <w:lang w:bidi="ar"/>
        </w:rPr>
        <w:t xml:space="preserve">  </w:t>
      </w:r>
      <w:r>
        <w:rPr>
          <w:rFonts w:hint="eastAsia" w:ascii="宋体" w:hAnsi="宋体" w:eastAsia="宋体"/>
          <w:szCs w:val="21"/>
          <w:lang w:bidi="ar"/>
        </w:rPr>
        <w:t>城市公共停车场</w:t>
      </w:r>
      <w:r>
        <w:rPr>
          <w:rFonts w:hint="eastAsia" w:ascii="宋体" w:hAnsi="宋体" w:eastAsia="宋体"/>
          <w:szCs w:val="21"/>
          <w:lang w:eastAsia="zh-CN" w:bidi="ar"/>
        </w:rPr>
        <w:t>（</w:t>
      </w:r>
      <w:r>
        <w:rPr>
          <w:rFonts w:hint="eastAsia" w:ascii="宋体" w:hAnsi="宋体" w:eastAsia="宋体"/>
          <w:szCs w:val="21"/>
          <w:lang w:val="en-US" w:eastAsia="zh-CN" w:bidi="ar"/>
        </w:rPr>
        <w:t>库</w:t>
      </w:r>
      <w:r>
        <w:rPr>
          <w:rFonts w:hint="eastAsia" w:ascii="宋体" w:hAnsi="宋体" w:eastAsia="宋体"/>
          <w:szCs w:val="21"/>
          <w:lang w:eastAsia="zh-CN" w:bidi="ar"/>
        </w:rPr>
        <w:t>）</w:t>
      </w:r>
      <w:r>
        <w:rPr>
          <w:rFonts w:hint="eastAsia" w:ascii="宋体" w:hAnsi="宋体" w:eastAsia="宋体"/>
          <w:szCs w:val="21"/>
          <w:lang w:bidi="ar"/>
        </w:rPr>
        <w:t>建设应充分衔接城市国土空间规划、控制性详细规划、公共停车设施专项规划、绿地系统规划、教育设施及体育设施布局规划、城市更新规划等相关规划，结合停车供需矛盾突出区域、重点片区及相关地块开发计划，合理统筹规划，考虑近、远期相结合，实时建设，有序发展。</w:t>
      </w:r>
    </w:p>
    <w:p w14:paraId="12B17888">
      <w:pPr>
        <w:pStyle w:val="26"/>
        <w:autoSpaceDE w:val="0"/>
        <w:autoSpaceDN w:val="0"/>
        <w:spacing w:beforeAutospacing="0" w:afterAutospacing="0"/>
        <w:jc w:val="both"/>
        <w:rPr>
          <w:sz w:val="21"/>
          <w:szCs w:val="21"/>
        </w:rPr>
      </w:pPr>
      <w:r>
        <w:rPr>
          <w:rFonts w:hint="eastAsia" w:ascii="黑体" w:hAnsi="黑体" w:eastAsia="黑体" w:cs="黑体"/>
          <w:bCs/>
          <w:sz w:val="21"/>
          <w:szCs w:val="21"/>
          <w:lang w:bidi="ar"/>
        </w:rPr>
        <w:t xml:space="preserve">4.4  </w:t>
      </w:r>
      <w:r>
        <w:rPr>
          <w:rFonts w:hint="eastAsia"/>
          <w:sz w:val="21"/>
          <w:szCs w:val="21"/>
          <w:lang w:bidi="ar"/>
        </w:rPr>
        <w:t>城市公共停车场</w:t>
      </w:r>
      <w:r>
        <w:rPr>
          <w:rFonts w:hint="eastAsia"/>
          <w:sz w:val="21"/>
          <w:szCs w:val="21"/>
          <w:lang w:eastAsia="zh-CN" w:bidi="ar"/>
        </w:rPr>
        <w:t>（</w:t>
      </w:r>
      <w:r>
        <w:rPr>
          <w:rFonts w:hint="eastAsia"/>
          <w:sz w:val="21"/>
          <w:szCs w:val="21"/>
          <w:lang w:val="en-US" w:eastAsia="zh-CN" w:bidi="ar"/>
        </w:rPr>
        <w:t>库</w:t>
      </w:r>
      <w:r>
        <w:rPr>
          <w:rFonts w:hint="eastAsia"/>
          <w:sz w:val="21"/>
          <w:szCs w:val="21"/>
          <w:lang w:eastAsia="zh-CN" w:bidi="ar"/>
        </w:rPr>
        <w:t>）</w:t>
      </w:r>
      <w:r>
        <w:rPr>
          <w:rFonts w:hint="eastAsia"/>
          <w:sz w:val="21"/>
          <w:szCs w:val="21"/>
          <w:lang w:bidi="ar"/>
        </w:rPr>
        <w:t>规划布局应遵循以下原则：</w:t>
      </w:r>
    </w:p>
    <w:p w14:paraId="06B12A1A">
      <w:pPr>
        <w:pStyle w:val="26"/>
        <w:autoSpaceDE w:val="0"/>
        <w:autoSpaceDN w:val="0"/>
        <w:spacing w:beforeAutospacing="0" w:afterAutospacing="0"/>
        <w:ind w:firstLine="210" w:firstLineChars="100"/>
        <w:jc w:val="both"/>
        <w:rPr>
          <w:sz w:val="21"/>
          <w:szCs w:val="21"/>
        </w:rPr>
      </w:pPr>
      <w:r>
        <w:rPr>
          <w:rFonts w:hint="eastAsia" w:ascii="黑体" w:hAnsi="黑体" w:eastAsia="黑体" w:cs="黑体"/>
          <w:kern w:val="2"/>
          <w:sz w:val="21"/>
          <w:szCs w:val="21"/>
          <w:lang w:bidi="ar"/>
        </w:rPr>
        <w:t xml:space="preserve">1  </w:t>
      </w:r>
      <w:r>
        <w:rPr>
          <w:rFonts w:hint="eastAsia"/>
          <w:sz w:val="21"/>
          <w:szCs w:val="21"/>
          <w:lang w:bidi="ar"/>
        </w:rPr>
        <w:t>因地制宜。城市公共停车场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因地制宜地选择停车场形式，在建筑密度高、用地供应紧张的区域宜优先考虑立体、集约化的建设方式；</w:t>
      </w:r>
    </w:p>
    <w:p w14:paraId="412992AE">
      <w:pPr>
        <w:pStyle w:val="26"/>
        <w:autoSpaceDE w:val="0"/>
        <w:autoSpaceDN w:val="0"/>
        <w:spacing w:beforeAutospacing="0" w:afterAutospacing="0"/>
        <w:ind w:firstLine="210" w:firstLineChars="100"/>
        <w:jc w:val="both"/>
        <w:rPr>
          <w:sz w:val="21"/>
          <w:szCs w:val="21"/>
        </w:rPr>
      </w:pPr>
      <w:r>
        <w:rPr>
          <w:rFonts w:hint="eastAsia" w:ascii="黑体" w:hAnsi="黑体" w:eastAsia="黑体" w:cs="黑体"/>
          <w:sz w:val="21"/>
          <w:szCs w:val="21"/>
          <w:lang w:bidi="ar"/>
        </w:rPr>
        <w:t>2</w:t>
      </w:r>
      <w:r>
        <w:rPr>
          <w:rFonts w:hint="eastAsia"/>
          <w:sz w:val="21"/>
          <w:szCs w:val="21"/>
          <w:lang w:bidi="ar"/>
        </w:rPr>
        <w:t xml:space="preserve">  规模适宜。城市公共停车场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规模应结合城市不同停车分区的停车供需关系分析确定，服务半径不宜大于300米。弥补老城区配建停车设施不足，调节新开发片区停车供应与布局结构；</w:t>
      </w:r>
    </w:p>
    <w:p w14:paraId="2F01AF65">
      <w:pPr>
        <w:pStyle w:val="26"/>
        <w:autoSpaceDE w:val="0"/>
        <w:autoSpaceDN w:val="0"/>
        <w:spacing w:beforeAutospacing="0" w:afterAutospacing="0"/>
        <w:ind w:firstLine="210" w:firstLineChars="100"/>
        <w:jc w:val="both"/>
        <w:rPr>
          <w:sz w:val="21"/>
          <w:szCs w:val="21"/>
        </w:rPr>
      </w:pPr>
      <w:r>
        <w:rPr>
          <w:rFonts w:hint="eastAsia" w:ascii="黑体" w:hAnsi="黑体" w:eastAsia="黑体" w:cs="黑体"/>
          <w:sz w:val="21"/>
          <w:szCs w:val="21"/>
          <w:lang w:bidi="ar"/>
        </w:rPr>
        <w:t>3</w:t>
      </w:r>
      <w:r>
        <w:rPr>
          <w:rFonts w:hint="eastAsia"/>
          <w:sz w:val="21"/>
          <w:szCs w:val="21"/>
          <w:lang w:bidi="ar"/>
        </w:rPr>
        <w:t xml:space="preserve">  布局合理。城市公共停车场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布局应符合“就近、分散、便捷”的原则，按照区域差别化策略原则确定公共停车场的分布。城市公共停车场是配建停车场泊位的补充和调节，应重点布置在综合性商业、CBD 地区、服务和活动中心、改造潜力小的建成区、交通换乘枢纽等，形成科学合理的停车设施布局结构；</w:t>
      </w:r>
    </w:p>
    <w:p w14:paraId="006EF40F">
      <w:pPr>
        <w:pStyle w:val="26"/>
        <w:autoSpaceDE w:val="0"/>
        <w:autoSpaceDN w:val="0"/>
        <w:spacing w:beforeAutospacing="0" w:afterAutospacing="0"/>
        <w:ind w:firstLine="210" w:firstLineChars="100"/>
        <w:jc w:val="both"/>
        <w:rPr>
          <w:sz w:val="21"/>
          <w:szCs w:val="21"/>
        </w:rPr>
      </w:pPr>
      <w:r>
        <w:rPr>
          <w:rFonts w:hint="eastAsia" w:ascii="黑体" w:hAnsi="黑体" w:eastAsia="黑体" w:cs="黑体"/>
          <w:sz w:val="21"/>
          <w:szCs w:val="21"/>
          <w:lang w:bidi="ar"/>
        </w:rPr>
        <w:t>4</w:t>
      </w:r>
      <w:r>
        <w:rPr>
          <w:rFonts w:hint="eastAsia"/>
          <w:sz w:val="21"/>
          <w:szCs w:val="21"/>
          <w:lang w:bidi="ar"/>
        </w:rPr>
        <w:t xml:space="preserve">  组织顺畅。城市公共停车场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的出入口设置、机动车进出应对周边道路交通影响小，交通组织设计合理，满足交通影响评价要求；</w:t>
      </w:r>
    </w:p>
    <w:p w14:paraId="4F888636">
      <w:pPr>
        <w:pStyle w:val="26"/>
        <w:autoSpaceDE w:val="0"/>
        <w:autoSpaceDN w:val="0"/>
        <w:spacing w:beforeAutospacing="0" w:afterAutospacing="0"/>
        <w:ind w:firstLine="210" w:firstLineChars="100"/>
        <w:jc w:val="both"/>
        <w:rPr>
          <w:sz w:val="21"/>
          <w:szCs w:val="21"/>
        </w:rPr>
      </w:pPr>
      <w:r>
        <w:rPr>
          <w:rFonts w:hint="eastAsia" w:ascii="黑体" w:hAnsi="黑体" w:eastAsia="黑体" w:cs="黑体"/>
          <w:sz w:val="21"/>
          <w:szCs w:val="21"/>
          <w:lang w:bidi="ar"/>
        </w:rPr>
        <w:t>5</w:t>
      </w:r>
      <w:r>
        <w:rPr>
          <w:rFonts w:hint="eastAsia"/>
          <w:sz w:val="21"/>
          <w:szCs w:val="21"/>
          <w:lang w:bidi="ar"/>
        </w:rPr>
        <w:t xml:space="preserve">  远近结合。城市公共停车场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宜选择土地权属清晰、规划条件明确等用地，充分考虑公共停车场（形式、规模等）实施的可行性，同时兼顾控制性，满足近期需求和远期预留发展要求。</w:t>
      </w:r>
    </w:p>
    <w:p w14:paraId="0FB89F0A">
      <w:pPr>
        <w:pStyle w:val="26"/>
        <w:autoSpaceDE w:val="0"/>
        <w:autoSpaceDN w:val="0"/>
        <w:spacing w:beforeAutospacing="0" w:afterAutospacing="0"/>
        <w:jc w:val="both"/>
        <w:rPr>
          <w:sz w:val="21"/>
          <w:szCs w:val="21"/>
        </w:rPr>
      </w:pPr>
      <w:r>
        <w:rPr>
          <w:rFonts w:hint="eastAsia" w:ascii="黑体" w:hAnsi="黑体" w:eastAsia="黑体" w:cs="黑体"/>
          <w:bCs/>
          <w:sz w:val="21"/>
          <w:szCs w:val="21"/>
          <w:lang w:bidi="ar"/>
        </w:rPr>
        <w:t>4.6</w:t>
      </w:r>
      <w:r>
        <w:rPr>
          <w:rFonts w:ascii="黑体" w:hAnsi="黑体" w:eastAsia="黑体" w:cs="黑体"/>
          <w:sz w:val="21"/>
          <w:szCs w:val="21"/>
          <w:lang w:bidi="ar"/>
        </w:rPr>
        <w:t xml:space="preserve">  </w:t>
      </w:r>
      <w:r>
        <w:rPr>
          <w:rFonts w:hint="eastAsia"/>
          <w:sz w:val="21"/>
          <w:szCs w:val="21"/>
          <w:lang w:bidi="ar"/>
        </w:rPr>
        <w:t>综合开发利用地下空间并结合人防工程进行建设的城市公共停车设施应符合《人民防空地下室设计规范》GB50038、《福建省防空地下室防护标准管理规定》（闽人防办〔2018〕84号）、《厦门市人民防空工程标识技术导则》（厦人防办〔2022〕13号）等国家、省、市现行人防建设标准的规定。</w:t>
      </w:r>
    </w:p>
    <w:p w14:paraId="16B964E0">
      <w:pPr>
        <w:spacing w:line="240" w:lineRule="auto"/>
        <w:rPr>
          <w:rFonts w:ascii="宋体" w:hAnsi="宋体" w:cs="宋体"/>
        </w:rPr>
      </w:pPr>
      <w:r>
        <w:rPr>
          <w:rFonts w:hint="eastAsia" w:ascii="黑体" w:hAnsi="黑体" w:eastAsia="黑体" w:cs="黑体"/>
          <w:lang w:bidi="ar"/>
        </w:rPr>
        <w:t>4.10</w:t>
      </w:r>
      <w:r>
        <w:rPr>
          <w:rFonts w:ascii="宋体" w:hAnsi="宋体" w:cs="宋体"/>
          <w:lang w:bidi="ar"/>
        </w:rPr>
        <w:t xml:space="preserve">  </w:t>
      </w:r>
      <w:r>
        <w:rPr>
          <w:rFonts w:hint="eastAsia" w:ascii="宋体" w:hAnsi="宋体" w:cs="宋体"/>
          <w:lang w:bidi="ar"/>
        </w:rPr>
        <w:t>城市公共停车场绿化面积按《厦门市建设项目附属园林绿化用地面积计算规则（2024年版）》等相关现行规定确定。地面停车场在同时满足下列条件前提下，按外围乔木围合范围计算绿地面积：（一）选择遮荫效果良好的高大乔木树种，且胸径大于10厘米以上；（二）种植株行距均不大于7米。</w:t>
      </w:r>
    </w:p>
    <w:p w14:paraId="2C43192F">
      <w:pPr>
        <w:spacing w:line="240" w:lineRule="auto"/>
        <w:rPr>
          <w:rFonts w:ascii="宋体" w:hAnsi="宋体" w:cs="宋体"/>
        </w:rPr>
      </w:pPr>
      <w:bookmarkStart w:id="49" w:name="_Hlk161216610"/>
      <w:r>
        <w:rPr>
          <w:rFonts w:hint="eastAsia" w:ascii="黑体" w:hAnsi="黑体" w:eastAsia="黑体" w:cs="黑体"/>
          <w:lang w:bidi="ar"/>
        </w:rPr>
        <w:t>4.12</w:t>
      </w:r>
      <w:r>
        <w:rPr>
          <w:rFonts w:hint="eastAsia" w:ascii="宋体" w:hAnsi="宋体" w:cs="宋体"/>
          <w:lang w:bidi="ar"/>
        </w:rPr>
        <w:t xml:space="preserve">  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ascii="宋体" w:hAnsi="宋体" w:cs="宋体"/>
          <w:lang w:bidi="ar"/>
        </w:rPr>
        <w:t>的交通影响评价应按照《建设项目交通影响评价技术标准》CJJ/T141、《厦门市建设项目交通影响评价管理办法（2017版）》等技术标准和管理规定实施，新建、改建、扩建大于100个停车位以上规模的停车场（库）交通设施建设项目应开展建设项目交通影响评价。</w:t>
      </w:r>
    </w:p>
    <w:p w14:paraId="6B5959E0">
      <w:pPr>
        <w:spacing w:line="240" w:lineRule="auto"/>
        <w:rPr>
          <w:rFonts w:ascii="宋体" w:hAnsi="宋体" w:cs="宋体"/>
          <w:lang w:bidi="ar"/>
        </w:rPr>
      </w:pPr>
      <w:r>
        <w:rPr>
          <w:rFonts w:hint="eastAsia" w:ascii="黑体" w:hAnsi="黑体" w:eastAsia="黑体" w:cs="黑体"/>
          <w:lang w:bidi="ar"/>
        </w:rPr>
        <w:t xml:space="preserve">4.13 </w:t>
      </w:r>
      <w:r>
        <w:rPr>
          <w:rFonts w:hint="eastAsia" w:ascii="宋体" w:hAnsi="宋体" w:cs="宋体"/>
          <w:lang w:bidi="ar"/>
        </w:rPr>
        <w:t xml:space="preserve"> 建设项目停车设施配建标准应按《厦门市建设项目停车设施配建标准（2020版）》的规定执行。配建标准详见附录A。</w:t>
      </w:r>
      <w:bookmarkEnd w:id="49"/>
    </w:p>
    <w:p w14:paraId="0D845A68">
      <w:pPr>
        <w:pStyle w:val="108"/>
        <w:spacing w:before="312" w:after="312"/>
        <w:outlineLvl w:val="9"/>
        <w:rPr>
          <w:rFonts w:hAnsi="黑体" w:cs="黑体"/>
          <w:sz w:val="28"/>
          <w:szCs w:val="28"/>
        </w:rPr>
      </w:pPr>
      <w:r>
        <w:rPr>
          <w:rFonts w:hint="eastAsia"/>
        </w:rPr>
        <w:t>建设规模与构成</w:t>
      </w:r>
    </w:p>
    <w:p w14:paraId="461C3DB4">
      <w:pPr>
        <w:pStyle w:val="108"/>
        <w:numPr>
          <w:ilvl w:val="2"/>
          <w:numId w:val="36"/>
        </w:numPr>
        <w:spacing w:before="0" w:beforeLines="0" w:after="0" w:afterLines="0"/>
        <w:outlineLvl w:val="9"/>
      </w:pPr>
      <w:r>
        <w:rPr>
          <w:rFonts w:hint="eastAsia" w:hAnsi="黑体" w:cs="黑体"/>
          <w:szCs w:val="21"/>
          <w:lang w:bidi="ar"/>
        </w:rPr>
        <w:t>停车场</w:t>
      </w:r>
      <w:r>
        <w:rPr>
          <w:rFonts w:hint="eastAsia" w:hAnsi="黑体" w:cs="黑体"/>
          <w:szCs w:val="21"/>
          <w:lang w:eastAsia="zh-CN" w:bidi="ar"/>
        </w:rPr>
        <w:t>（</w:t>
      </w:r>
      <w:r>
        <w:rPr>
          <w:rFonts w:hint="eastAsia" w:hAnsi="黑体" w:cs="黑体"/>
          <w:szCs w:val="21"/>
          <w:lang w:val="en-US" w:eastAsia="zh-CN" w:bidi="ar"/>
        </w:rPr>
        <w:t>库</w:t>
      </w:r>
      <w:r>
        <w:rPr>
          <w:rFonts w:hint="eastAsia" w:hAnsi="黑体" w:cs="黑体"/>
          <w:szCs w:val="21"/>
          <w:lang w:eastAsia="zh-CN" w:bidi="ar"/>
        </w:rPr>
        <w:t>）</w:t>
      </w:r>
      <w:r>
        <w:rPr>
          <w:rFonts w:hint="eastAsia" w:hAnsi="黑体" w:cs="黑体"/>
          <w:szCs w:val="21"/>
          <w:lang w:bidi="ar"/>
        </w:rPr>
        <w:t>建设规模</w:t>
      </w:r>
    </w:p>
    <w:p w14:paraId="482AC22A">
      <w:pPr>
        <w:pStyle w:val="26"/>
        <w:autoSpaceDE w:val="0"/>
        <w:autoSpaceDN w:val="0"/>
        <w:spacing w:beforeAutospacing="0" w:afterAutospacing="0"/>
        <w:jc w:val="both"/>
        <w:rPr>
          <w:sz w:val="21"/>
          <w:szCs w:val="21"/>
        </w:rPr>
      </w:pPr>
      <w:r>
        <w:rPr>
          <w:rFonts w:hint="eastAsia" w:ascii="黑体" w:hAnsi="黑体" w:eastAsia="黑体" w:cs="黑体"/>
          <w:sz w:val="21"/>
          <w:szCs w:val="21"/>
          <w:lang w:bidi="ar"/>
        </w:rPr>
        <w:t xml:space="preserve">5.1.1  </w:t>
      </w:r>
      <w:r>
        <w:rPr>
          <w:rFonts w:hint="eastAsia"/>
          <w:sz w:val="21"/>
          <w:szCs w:val="21"/>
          <w:lang w:bidi="ar"/>
        </w:rPr>
        <w:t>本条文参考现行国家标准《城市停车规划规范》GB/T 51149，远期停车设施专项规划应保证建筑物配建停车位是城市机动车停车位供给的主体，应占城市机动车停车位供给总量的85%以上，城市公共停车场提供的停车位应占城市机动车停车位供给总量的10%～15%。</w:t>
      </w:r>
    </w:p>
    <w:p w14:paraId="6061FF48">
      <w:pPr>
        <w:pStyle w:val="26"/>
        <w:autoSpaceDE w:val="0"/>
        <w:autoSpaceDN w:val="0"/>
        <w:spacing w:beforeAutospacing="0" w:afterAutospacing="0"/>
        <w:jc w:val="both"/>
        <w:rPr>
          <w:sz w:val="21"/>
          <w:szCs w:val="21"/>
        </w:rPr>
      </w:pPr>
      <w:r>
        <w:rPr>
          <w:rFonts w:hint="eastAsia" w:ascii="黑体" w:hAnsi="黑体" w:eastAsia="黑体" w:cs="黑体"/>
          <w:sz w:val="21"/>
          <w:szCs w:val="21"/>
          <w:lang w:bidi="ar"/>
        </w:rPr>
        <w:t xml:space="preserve">5.1.2  </w:t>
      </w:r>
      <w:r>
        <w:rPr>
          <w:rFonts w:hint="eastAsia"/>
          <w:sz w:val="21"/>
          <w:szCs w:val="21"/>
          <w:lang w:bidi="ar"/>
        </w:rPr>
        <w:t>本条文参考现行国家标准《城市停车规划规范》GB/T 51149，考虑地面、地下和地上等不同形式停车场的占地需求，基于节约利用土地资源的原则，确定人均城市公共停车</w:t>
      </w:r>
      <w:r>
        <w:rPr>
          <w:rFonts w:hint="eastAsia"/>
          <w:sz w:val="21"/>
          <w:szCs w:val="21"/>
          <w:lang w:val="en-US" w:eastAsia="zh-CN" w:bidi="ar"/>
        </w:rPr>
        <w:t>设施</w:t>
      </w:r>
      <w:r>
        <w:rPr>
          <w:rFonts w:hint="eastAsia"/>
          <w:sz w:val="21"/>
          <w:szCs w:val="21"/>
          <w:lang w:bidi="ar"/>
        </w:rPr>
        <w:t>占地规模宜控制在0.5m</w:t>
      </w:r>
      <w:r>
        <w:rPr>
          <w:rFonts w:hint="eastAsia"/>
          <w:sz w:val="21"/>
          <w:szCs w:val="21"/>
          <w:vertAlign w:val="superscript"/>
          <w:lang w:bidi="ar"/>
        </w:rPr>
        <w:t>2</w:t>
      </w:r>
      <w:r>
        <w:rPr>
          <w:rFonts w:hint="eastAsia"/>
          <w:sz w:val="21"/>
          <w:szCs w:val="21"/>
          <w:lang w:bidi="ar"/>
        </w:rPr>
        <w:t>～1.0m</w:t>
      </w:r>
      <w:r>
        <w:rPr>
          <w:rFonts w:hint="eastAsia"/>
          <w:sz w:val="21"/>
          <w:szCs w:val="21"/>
          <w:vertAlign w:val="superscript"/>
          <w:lang w:bidi="ar"/>
        </w:rPr>
        <w:t>2</w:t>
      </w:r>
      <w:r>
        <w:rPr>
          <w:rFonts w:hint="eastAsia"/>
          <w:sz w:val="21"/>
          <w:szCs w:val="21"/>
          <w:lang w:bidi="ar"/>
        </w:rPr>
        <w:t>。</w:t>
      </w:r>
    </w:p>
    <w:p w14:paraId="42697374">
      <w:pPr>
        <w:pStyle w:val="26"/>
        <w:autoSpaceDE w:val="0"/>
        <w:autoSpaceDN w:val="0"/>
        <w:spacing w:beforeAutospacing="0" w:afterAutospacing="0"/>
        <w:jc w:val="both"/>
        <w:rPr>
          <w:sz w:val="21"/>
          <w:szCs w:val="21"/>
        </w:rPr>
      </w:pPr>
      <w:r>
        <w:rPr>
          <w:rFonts w:hint="eastAsia" w:ascii="黑体" w:hAnsi="黑体" w:eastAsia="黑体" w:cs="黑体"/>
          <w:bCs/>
          <w:sz w:val="21"/>
          <w:szCs w:val="21"/>
          <w:lang w:bidi="ar"/>
        </w:rPr>
        <w:t xml:space="preserve">5.1.3  </w:t>
      </w:r>
      <w:r>
        <w:rPr>
          <w:rFonts w:hint="eastAsia"/>
          <w:sz w:val="21"/>
          <w:szCs w:val="21"/>
          <w:lang w:bidi="ar"/>
        </w:rPr>
        <w:t>本条文参考现行国家标准《城市停车规划规范》GB/T 51149，停车场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设置的管理用房、停车辅助设施等建筑面积应按照不高于1m</w:t>
      </w:r>
      <w:r>
        <w:rPr>
          <w:rFonts w:hint="eastAsia"/>
          <w:sz w:val="21"/>
          <w:szCs w:val="21"/>
          <w:vertAlign w:val="superscript"/>
          <w:lang w:bidi="ar"/>
        </w:rPr>
        <w:t>2</w:t>
      </w:r>
      <w:r>
        <w:rPr>
          <w:rFonts w:hint="eastAsia"/>
          <w:sz w:val="21"/>
          <w:szCs w:val="21"/>
          <w:lang w:bidi="ar"/>
        </w:rPr>
        <w:t>/机动车停车位的标准设置，且管理用房、停车辅助设施的占地面积不应大于城市公共停车场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总用地面积的5%。</w:t>
      </w:r>
    </w:p>
    <w:p w14:paraId="17277D81">
      <w:pPr>
        <w:pStyle w:val="26"/>
        <w:autoSpaceDE w:val="0"/>
        <w:autoSpaceDN w:val="0"/>
        <w:spacing w:beforeAutospacing="0" w:afterAutospacing="0"/>
        <w:jc w:val="both"/>
        <w:rPr>
          <w:sz w:val="21"/>
          <w:szCs w:val="21"/>
        </w:rPr>
      </w:pPr>
      <w:r>
        <w:rPr>
          <w:rFonts w:hint="eastAsia" w:ascii="黑体" w:hAnsi="黑体" w:eastAsia="黑体" w:cs="黑体"/>
          <w:bCs/>
          <w:sz w:val="21"/>
          <w:szCs w:val="21"/>
          <w:lang w:bidi="ar"/>
        </w:rPr>
        <w:t xml:space="preserve">5.1.4  </w:t>
      </w:r>
      <w:r>
        <w:rPr>
          <w:rFonts w:hint="eastAsia"/>
          <w:sz w:val="21"/>
          <w:szCs w:val="21"/>
          <w:lang w:bidi="ar"/>
        </w:rPr>
        <w:t>本条文参考现行行业标准《车库建筑设计规范》JGJ 100，城市公共停车场</w:t>
      </w:r>
      <w:r>
        <w:rPr>
          <w:rFonts w:hint="eastAsia" w:ascii="宋体" w:hAnsi="宋体" w:eastAsia="宋体"/>
          <w:sz w:val="21"/>
          <w:szCs w:val="21"/>
          <w:lang w:eastAsia="zh-CN" w:bidi="ar"/>
        </w:rPr>
        <w:t>（</w:t>
      </w:r>
      <w:r>
        <w:rPr>
          <w:rFonts w:hint="eastAsia" w:ascii="宋体" w:hAnsi="宋体" w:eastAsia="宋体"/>
          <w:sz w:val="21"/>
          <w:szCs w:val="21"/>
          <w:lang w:val="en-US" w:eastAsia="zh-CN" w:bidi="ar"/>
        </w:rPr>
        <w:t>库</w:t>
      </w:r>
      <w:r>
        <w:rPr>
          <w:rFonts w:hint="eastAsia" w:ascii="宋体" w:hAnsi="宋体" w:eastAsia="宋体"/>
          <w:sz w:val="21"/>
          <w:szCs w:val="21"/>
          <w:lang w:eastAsia="zh-CN" w:bidi="ar"/>
        </w:rPr>
        <w:t>）</w:t>
      </w:r>
      <w:r>
        <w:rPr>
          <w:rFonts w:hint="eastAsia"/>
          <w:sz w:val="21"/>
          <w:szCs w:val="21"/>
          <w:lang w:bidi="ar"/>
        </w:rPr>
        <w:t>的建设规模按停车当量数划分为特大型、大型、中型、小型。</w:t>
      </w:r>
    </w:p>
    <w:p w14:paraId="0984F372">
      <w:pPr>
        <w:pStyle w:val="108"/>
        <w:numPr>
          <w:ilvl w:val="2"/>
          <w:numId w:val="2"/>
        </w:numPr>
        <w:spacing w:before="312" w:after="312"/>
        <w:outlineLvl w:val="9"/>
        <w:rPr>
          <w:rFonts w:ascii="宋体" w:hAnsi="宋体" w:eastAsia="宋体"/>
          <w:szCs w:val="21"/>
          <w:lang w:bidi="ar"/>
        </w:rPr>
      </w:pPr>
      <w:r>
        <w:rPr>
          <w:rFonts w:hint="eastAsia" w:hAnsi="黑体" w:cs="黑体"/>
          <w:szCs w:val="21"/>
          <w:lang w:bidi="ar"/>
        </w:rPr>
        <w:t>停车场</w:t>
      </w:r>
      <w:r>
        <w:rPr>
          <w:rFonts w:hint="eastAsia" w:hAnsi="黑体" w:cs="黑体"/>
          <w:szCs w:val="21"/>
          <w:lang w:eastAsia="zh-CN" w:bidi="ar"/>
        </w:rPr>
        <w:t>（</w:t>
      </w:r>
      <w:r>
        <w:rPr>
          <w:rFonts w:hint="eastAsia" w:hAnsi="黑体" w:cs="黑体"/>
          <w:szCs w:val="21"/>
          <w:lang w:val="en-US" w:eastAsia="zh-CN" w:bidi="ar"/>
        </w:rPr>
        <w:t>库</w:t>
      </w:r>
      <w:r>
        <w:rPr>
          <w:rFonts w:hint="eastAsia" w:hAnsi="黑体" w:cs="黑体"/>
          <w:szCs w:val="21"/>
          <w:lang w:eastAsia="zh-CN" w:bidi="ar"/>
        </w:rPr>
        <w:t>）</w:t>
      </w:r>
      <w:r>
        <w:rPr>
          <w:rFonts w:hint="eastAsia" w:hAnsi="黑体" w:cs="黑体"/>
          <w:szCs w:val="21"/>
          <w:lang w:bidi="ar"/>
        </w:rPr>
        <w:t>设施构成</w:t>
      </w:r>
    </w:p>
    <w:p w14:paraId="4DC84C63">
      <w:pPr>
        <w:pStyle w:val="26"/>
        <w:autoSpaceDE w:val="0"/>
        <w:autoSpaceDN w:val="0"/>
        <w:spacing w:before="156" w:beforeLines="50" w:beforeAutospacing="0" w:afterAutospacing="0"/>
        <w:jc w:val="both"/>
        <w:rPr>
          <w:sz w:val="21"/>
          <w:szCs w:val="20"/>
          <w:lang w:bidi="ar"/>
        </w:rPr>
      </w:pPr>
      <w:r>
        <w:rPr>
          <w:rFonts w:hint="eastAsia" w:ascii="黑体" w:hAnsi="黑体" w:eastAsia="黑体" w:cs="黑体"/>
          <w:bCs/>
          <w:sz w:val="21"/>
          <w:szCs w:val="20"/>
          <w:lang w:bidi="ar"/>
        </w:rPr>
        <w:t xml:space="preserve">5.2.3  </w:t>
      </w:r>
      <w:r>
        <w:rPr>
          <w:rFonts w:hint="eastAsia"/>
          <w:sz w:val="21"/>
          <w:szCs w:val="20"/>
          <w:lang w:bidi="ar"/>
        </w:rPr>
        <w:t>本条文参考现行《厦门市建设局关于进一步做好无障碍停车位设置工作的通知》（厦公建〔2015〕3号）要求，确定无障碍停车位数量设置标准及相应设置规范，相关设计标准应符合现行国家标准《建筑与市政工程无障碍通用规范》GB 55019、地方标准《福建省无障碍设计标准》DBJ/T 13-423的相关规定。</w:t>
      </w:r>
    </w:p>
    <w:p w14:paraId="31F69B2A">
      <w:pPr>
        <w:pStyle w:val="108"/>
        <w:spacing w:before="312" w:after="312"/>
        <w:outlineLvl w:val="9"/>
        <w:rPr>
          <w:rFonts w:ascii="宋体" w:hAnsi="宋体" w:eastAsia="宋体"/>
          <w:lang w:bidi="ar"/>
        </w:rPr>
      </w:pPr>
      <w:r>
        <w:rPr>
          <w:rFonts w:hint="eastAsia"/>
        </w:rPr>
        <w:t>基地和总平面</w:t>
      </w:r>
    </w:p>
    <w:p w14:paraId="724E4D2A">
      <w:pPr>
        <w:spacing w:line="240" w:lineRule="auto"/>
        <w:rPr>
          <w:rFonts w:ascii="宋体" w:hAnsi="宋体" w:cs="宋体"/>
        </w:rPr>
      </w:pPr>
      <w:r>
        <w:rPr>
          <w:rFonts w:hint="eastAsia" w:ascii="黑体" w:hAnsi="黑体" w:eastAsia="黑体" w:cs="黑体"/>
          <w:color w:val="000000"/>
          <w:kern w:val="0"/>
        </w:rPr>
        <w:t xml:space="preserve">6.1  </w:t>
      </w:r>
      <w:r>
        <w:rPr>
          <w:rFonts w:hint="eastAsia" w:ascii="宋体" w:hAnsi="宋体" w:cs="宋体"/>
        </w:rPr>
        <w:t>本条文参考《厦门市国土空间规划管理技术规定（2021版）》、《福建省城市规划管理技术规定（2017版）》关于机动车出入口的相关规定。城市快速路、主干路的机动车交通流量大、车速快，出入口应避免直接与快速路连接，主干路上开设机动车出入口应严格控制，受条件限制必须设置时，应进行专题研究，以确保行车安全和减少对城市交通的影响。最近边缘距离是指停车场出入口转弯弧线切点至道路交叉口的缘石转弯弧线切点或相邻出入口转弯弧线切点的距离。</w:t>
      </w:r>
    </w:p>
    <w:p w14:paraId="30CA576A">
      <w:pPr>
        <w:spacing w:line="240" w:lineRule="auto"/>
        <w:rPr>
          <w:rFonts w:ascii="宋体" w:hAnsi="宋体" w:cs="宋体"/>
        </w:rPr>
      </w:pPr>
      <w:r>
        <w:rPr>
          <w:rFonts w:ascii="宋体" w:hAnsi="宋体" w:cs="宋体"/>
        </w:rPr>
        <w:drawing>
          <wp:inline distT="0" distB="0" distL="114300" distR="114300">
            <wp:extent cx="5938520" cy="1790065"/>
            <wp:effectExtent l="0" t="0" r="508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938520" cy="1790065"/>
                    </a:xfrm>
                    <a:prstGeom prst="rect">
                      <a:avLst/>
                    </a:prstGeom>
                  </pic:spPr>
                </pic:pic>
              </a:graphicData>
            </a:graphic>
          </wp:inline>
        </w:drawing>
      </w:r>
    </w:p>
    <w:p w14:paraId="5BA22B8A">
      <w:pPr>
        <w:spacing w:line="240" w:lineRule="auto"/>
        <w:jc w:val="center"/>
        <w:rPr>
          <w:rFonts w:ascii="宋体" w:hAnsi="宋体" w:cs="宋体"/>
        </w:rPr>
      </w:pPr>
      <w:r>
        <w:rPr>
          <w:rFonts w:hint="eastAsia" w:ascii="宋体" w:hAnsi="宋体" w:cs="宋体"/>
        </w:rPr>
        <w:t xml:space="preserve"> 出入口间距示意图</w:t>
      </w:r>
    </w:p>
    <w:p w14:paraId="04E3A2A1">
      <w:pPr>
        <w:pStyle w:val="2"/>
      </w:pPr>
    </w:p>
    <w:p w14:paraId="59CEEFE9">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rPr>
        <w:t>6.</w:t>
      </w:r>
      <w:r>
        <w:rPr>
          <w:rFonts w:ascii="黑体" w:hAnsi="黑体" w:eastAsia="黑体" w:cs="黑体"/>
          <w:sz w:val="21"/>
          <w:szCs w:val="21"/>
        </w:rPr>
        <w:t>1.8</w:t>
      </w:r>
      <w:r>
        <w:rPr>
          <w:rFonts w:hint="eastAsia"/>
          <w:b/>
          <w:bCs/>
          <w:sz w:val="21"/>
          <w:szCs w:val="21"/>
        </w:rPr>
        <w:t xml:space="preserve">  </w:t>
      </w:r>
      <w:r>
        <w:rPr>
          <w:rFonts w:hint="eastAsia"/>
          <w:sz w:val="21"/>
          <w:szCs w:val="21"/>
          <w:lang w:bidi="ar"/>
        </w:rPr>
        <w:t>本条文参考《</w:t>
      </w:r>
      <w:r>
        <w:rPr>
          <w:sz w:val="21"/>
          <w:szCs w:val="21"/>
          <w:lang w:bidi="ar"/>
        </w:rPr>
        <w:t>浙江省城市建筑工程停车场设置规则</w:t>
      </w:r>
      <w:r>
        <w:rPr>
          <w:rFonts w:hint="eastAsia"/>
          <w:sz w:val="21"/>
          <w:szCs w:val="21"/>
          <w:lang w:bidi="ar"/>
        </w:rPr>
        <w:t>》关于机动车出入口的相关规定。</w:t>
      </w:r>
      <w:r>
        <w:rPr>
          <w:sz w:val="21"/>
          <w:szCs w:val="21"/>
          <w:lang w:bidi="ar"/>
        </w:rPr>
        <w:t>机动车出入口不应有遮挡视线的障碍物，范围应控制在距离出人口边线以内2.0m处作视点的120。范围内。设计应保证驾驶员在视点位置可以看到全部通视区范围内的车辆、行人情况。人行道的行道树不属于遮挡视线障碍物。</w:t>
      </w:r>
    </w:p>
    <w:p w14:paraId="60A35555">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rPr>
        <w:t>6.</w:t>
      </w:r>
      <w:r>
        <w:rPr>
          <w:rFonts w:ascii="黑体" w:hAnsi="黑体" w:eastAsia="黑体" w:cs="黑体"/>
          <w:sz w:val="21"/>
          <w:szCs w:val="21"/>
        </w:rPr>
        <w:t>2</w:t>
      </w:r>
      <w:r>
        <w:rPr>
          <w:rFonts w:hint="eastAsia" w:ascii="黑体" w:hAnsi="黑体" w:eastAsia="黑体" w:cs="黑体"/>
          <w:sz w:val="21"/>
          <w:szCs w:val="21"/>
        </w:rPr>
        <w:t xml:space="preserve">  </w:t>
      </w:r>
      <w:r>
        <w:rPr>
          <w:rFonts w:hint="eastAsia"/>
          <w:sz w:val="21"/>
          <w:szCs w:val="21"/>
          <w:lang w:bidi="ar"/>
        </w:rPr>
        <w:t>本条文参考《</w:t>
      </w:r>
      <w:r>
        <w:rPr>
          <w:sz w:val="21"/>
          <w:szCs w:val="21"/>
          <w:lang w:bidi="ar"/>
        </w:rPr>
        <w:t>浙江省城市建筑工程停车场设置规则</w:t>
      </w:r>
      <w:r>
        <w:rPr>
          <w:rFonts w:hint="eastAsia"/>
          <w:sz w:val="21"/>
          <w:szCs w:val="21"/>
          <w:lang w:bidi="ar"/>
        </w:rPr>
        <w:t>》关于机动车出入口的相关规定。</w:t>
      </w:r>
      <w:r>
        <w:rPr>
          <w:sz w:val="21"/>
          <w:szCs w:val="21"/>
          <w:lang w:bidi="ar"/>
        </w:rPr>
        <w:t>半径不足的U型路线难以掉头，易造成交通拥堵。</w:t>
      </w:r>
    </w:p>
    <w:p w14:paraId="52CACA29">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lang w:bidi="ar"/>
        </w:rPr>
        <w:t>6.</w:t>
      </w:r>
      <w:r>
        <w:rPr>
          <w:rFonts w:ascii="黑体" w:hAnsi="黑体" w:eastAsia="黑体" w:cs="黑体"/>
          <w:sz w:val="21"/>
          <w:szCs w:val="21"/>
          <w:lang w:bidi="ar"/>
        </w:rPr>
        <w:t>3</w:t>
      </w:r>
      <w:r>
        <w:rPr>
          <w:rFonts w:hint="eastAsia" w:ascii="黑体" w:hAnsi="黑体" w:eastAsia="黑体" w:cs="黑体"/>
          <w:sz w:val="21"/>
          <w:szCs w:val="21"/>
          <w:lang w:bidi="ar"/>
        </w:rPr>
        <w:t xml:space="preserve"> </w:t>
      </w:r>
      <w:r>
        <w:rPr>
          <w:rFonts w:hint="eastAsia"/>
          <w:b/>
          <w:bCs/>
          <w:sz w:val="21"/>
          <w:szCs w:val="21"/>
          <w:lang w:bidi="ar"/>
        </w:rPr>
        <w:t xml:space="preserve"> </w:t>
      </w:r>
      <w:r>
        <w:rPr>
          <w:rFonts w:hint="eastAsia"/>
          <w:sz w:val="21"/>
          <w:szCs w:val="21"/>
          <w:lang w:bidi="ar"/>
        </w:rPr>
        <w:t>本条文参考《</w:t>
      </w:r>
      <w:r>
        <w:rPr>
          <w:sz w:val="21"/>
          <w:szCs w:val="21"/>
          <w:lang w:bidi="ar"/>
        </w:rPr>
        <w:t>浙江省城市建筑工程停车场设置规则</w:t>
      </w:r>
      <w:r>
        <w:rPr>
          <w:rFonts w:hint="eastAsia"/>
          <w:sz w:val="21"/>
          <w:szCs w:val="21"/>
          <w:lang w:bidi="ar"/>
        </w:rPr>
        <w:t>》关于机动车出入口的相关规定。</w:t>
      </w:r>
      <w:r>
        <w:rPr>
          <w:sz w:val="21"/>
          <w:szCs w:val="21"/>
          <w:lang w:bidi="ar"/>
        </w:rPr>
        <w:t>设置道闸极易造成交通拥堵，设置12米间距为降低对城市道路的交通影响。</w:t>
      </w:r>
    </w:p>
    <w:p w14:paraId="6475CA60">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lang w:bidi="ar"/>
        </w:rPr>
        <w:t>6.</w:t>
      </w:r>
      <w:r>
        <w:rPr>
          <w:rFonts w:ascii="黑体" w:hAnsi="黑体" w:eastAsia="黑体" w:cs="黑体"/>
          <w:sz w:val="21"/>
          <w:szCs w:val="21"/>
          <w:lang w:bidi="ar"/>
        </w:rPr>
        <w:t>4</w:t>
      </w:r>
      <w:r>
        <w:rPr>
          <w:b/>
          <w:bCs/>
          <w:sz w:val="21"/>
          <w:szCs w:val="21"/>
          <w:lang w:bidi="ar"/>
        </w:rPr>
        <w:t xml:space="preserve"> </w:t>
      </w:r>
      <w:r>
        <w:rPr>
          <w:rFonts w:hint="eastAsia"/>
          <w:b/>
          <w:bCs/>
          <w:sz w:val="21"/>
          <w:szCs w:val="21"/>
          <w:lang w:bidi="ar"/>
        </w:rPr>
        <w:t xml:space="preserve"> </w:t>
      </w:r>
      <w:r>
        <w:rPr>
          <w:rFonts w:hint="eastAsia"/>
          <w:sz w:val="21"/>
          <w:szCs w:val="21"/>
          <w:lang w:bidi="ar"/>
        </w:rPr>
        <w:t>本条文参考《</w:t>
      </w:r>
      <w:r>
        <w:rPr>
          <w:sz w:val="21"/>
          <w:szCs w:val="21"/>
          <w:lang w:bidi="ar"/>
        </w:rPr>
        <w:t>浙江省城市建筑工程停车场设置规则</w:t>
      </w:r>
      <w:r>
        <w:rPr>
          <w:rFonts w:hint="eastAsia"/>
          <w:sz w:val="21"/>
          <w:szCs w:val="21"/>
          <w:lang w:bidi="ar"/>
        </w:rPr>
        <w:t>》关于机动车出入口的相关规定。</w:t>
      </w:r>
      <w:r>
        <w:rPr>
          <w:sz w:val="21"/>
          <w:szCs w:val="21"/>
          <w:lang w:bidi="ar"/>
        </w:rPr>
        <w:t>本条考虑人车分流，降低安全隐患。</w:t>
      </w:r>
    </w:p>
    <w:p w14:paraId="074F2799">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lang w:bidi="ar"/>
        </w:rPr>
        <w:t>6.</w:t>
      </w:r>
      <w:r>
        <w:rPr>
          <w:rFonts w:ascii="黑体" w:hAnsi="黑体" w:eastAsia="黑体" w:cs="黑体"/>
          <w:sz w:val="21"/>
          <w:szCs w:val="21"/>
          <w:lang w:bidi="ar"/>
        </w:rPr>
        <w:t>5</w:t>
      </w:r>
      <w:r>
        <w:rPr>
          <w:b/>
          <w:bCs/>
          <w:sz w:val="21"/>
          <w:szCs w:val="21"/>
          <w:lang w:bidi="ar"/>
        </w:rPr>
        <w:t xml:space="preserve"> </w:t>
      </w:r>
      <w:r>
        <w:rPr>
          <w:rFonts w:hint="eastAsia"/>
          <w:b/>
          <w:bCs/>
          <w:sz w:val="21"/>
          <w:szCs w:val="21"/>
          <w:lang w:bidi="ar"/>
        </w:rPr>
        <w:t xml:space="preserve"> </w:t>
      </w:r>
      <w:r>
        <w:rPr>
          <w:rFonts w:hint="eastAsia"/>
          <w:sz w:val="21"/>
          <w:szCs w:val="21"/>
          <w:lang w:bidi="ar"/>
        </w:rPr>
        <w:t>本条文参考现行国家标准《</w:t>
      </w:r>
      <w:r>
        <w:rPr>
          <w:sz w:val="21"/>
          <w:szCs w:val="21"/>
          <w:lang w:bidi="ar"/>
        </w:rPr>
        <w:t>民用建筑通用规范》GB55031-2022</w:t>
      </w:r>
      <w:r>
        <w:rPr>
          <w:rFonts w:hint="eastAsia"/>
          <w:sz w:val="21"/>
          <w:szCs w:val="21"/>
          <w:lang w:bidi="ar"/>
        </w:rPr>
        <w:t>，</w:t>
      </w:r>
      <w:r>
        <w:rPr>
          <w:sz w:val="21"/>
          <w:szCs w:val="21"/>
          <w:lang w:bidi="ar"/>
        </w:rPr>
        <w:t>本条对基地内机动车道路的最小宽度、回车场地设置条件给出最低要求。</w:t>
      </w:r>
    </w:p>
    <w:p w14:paraId="45D0B0EA">
      <w:pPr>
        <w:spacing w:line="240" w:lineRule="auto"/>
        <w:rPr>
          <w:rFonts w:ascii="宋体" w:hAnsi="宋体"/>
          <w:kern w:val="0"/>
          <w:lang w:bidi="ar"/>
        </w:rPr>
      </w:pPr>
      <w:r>
        <w:rPr>
          <w:rFonts w:hint="eastAsia" w:ascii="黑体" w:hAnsi="黑体" w:eastAsia="黑体" w:cs="黑体"/>
          <w:color w:val="000000"/>
        </w:rPr>
        <w:t>6.</w:t>
      </w:r>
      <w:r>
        <w:rPr>
          <w:rFonts w:ascii="黑体" w:hAnsi="黑体" w:eastAsia="黑体" w:cs="黑体"/>
          <w:color w:val="000000"/>
        </w:rPr>
        <w:t>6</w:t>
      </w:r>
      <w:r>
        <w:rPr>
          <w:rFonts w:ascii="宋体" w:hAnsi="宋体" w:cs="宋体"/>
          <w:b/>
          <w:bCs/>
          <w:color w:val="000000"/>
        </w:rPr>
        <w:t xml:space="preserve"> </w:t>
      </w:r>
      <w:r>
        <w:rPr>
          <w:rFonts w:hint="eastAsia" w:ascii="宋体" w:hAnsi="宋体" w:cs="宋体"/>
          <w:b/>
          <w:bCs/>
          <w:color w:val="000000"/>
        </w:rPr>
        <w:t xml:space="preserve"> </w:t>
      </w:r>
      <w:r>
        <w:rPr>
          <w:rFonts w:hint="eastAsia" w:ascii="宋体" w:hAnsi="宋体"/>
          <w:kern w:val="0"/>
          <w:lang w:bidi="ar"/>
        </w:rPr>
        <w:t>本条文参考《</w:t>
      </w:r>
      <w:r>
        <w:rPr>
          <w:kern w:val="0"/>
          <w:lang w:bidi="ar"/>
        </w:rPr>
        <w:t>浙江省城市建筑工程停车场设置规则</w:t>
      </w:r>
      <w:r>
        <w:rPr>
          <w:rFonts w:hint="eastAsia" w:ascii="宋体" w:hAnsi="宋体"/>
          <w:kern w:val="0"/>
          <w:lang w:bidi="ar"/>
        </w:rPr>
        <w:t>》关于</w:t>
      </w:r>
      <w:r>
        <w:rPr>
          <w:rFonts w:ascii="宋体" w:hAnsi="宋体"/>
          <w:kern w:val="0"/>
          <w:lang w:bidi="ar"/>
        </w:rPr>
        <w:t>基地总平面</w:t>
      </w:r>
      <w:r>
        <w:rPr>
          <w:rFonts w:hint="eastAsia" w:ascii="宋体" w:hAnsi="宋体"/>
          <w:kern w:val="0"/>
          <w:lang w:bidi="ar"/>
        </w:rPr>
        <w:t>的相关规定。</w:t>
      </w:r>
      <w:r>
        <w:rPr>
          <w:rFonts w:ascii="宋体" w:hAnsi="宋体"/>
          <w:kern w:val="0"/>
          <w:lang w:bidi="ar"/>
        </w:rPr>
        <w:t>本条为提升机动车通行及上下客效率。</w:t>
      </w:r>
    </w:p>
    <w:p w14:paraId="5A74A1DB">
      <w:pPr>
        <w:spacing w:line="240" w:lineRule="auto"/>
        <w:rPr>
          <w:rFonts w:ascii="宋体" w:hAnsi="宋体"/>
          <w:kern w:val="0"/>
          <w:szCs w:val="20"/>
          <w:lang w:bidi="ar"/>
        </w:rPr>
      </w:pPr>
      <w:r>
        <w:rPr>
          <w:rFonts w:hint="eastAsia" w:ascii="黑体" w:hAnsi="黑体" w:eastAsia="黑体" w:cs="黑体"/>
          <w:color w:val="000000"/>
        </w:rPr>
        <w:t>6.</w:t>
      </w:r>
      <w:r>
        <w:rPr>
          <w:rFonts w:ascii="黑体" w:hAnsi="黑体" w:eastAsia="黑体" w:cs="黑体"/>
          <w:color w:val="000000"/>
        </w:rPr>
        <w:t>7</w:t>
      </w:r>
      <w:r>
        <w:rPr>
          <w:rFonts w:hint="eastAsia" w:ascii="宋体" w:hAnsi="宋体" w:cs="宋体"/>
          <w:b/>
          <w:bCs/>
          <w:color w:val="000000"/>
        </w:rPr>
        <w:t xml:space="preserve">  </w:t>
      </w:r>
      <w:r>
        <w:rPr>
          <w:rFonts w:hint="eastAsia" w:ascii="宋体" w:hAnsi="宋体"/>
          <w:kern w:val="0"/>
          <w:lang w:bidi="ar"/>
        </w:rPr>
        <w:t>本条文参考《</w:t>
      </w:r>
      <w:r>
        <w:rPr>
          <w:kern w:val="0"/>
          <w:lang w:bidi="ar"/>
        </w:rPr>
        <w:t>浙江省城市建筑工程停车场设置规则</w:t>
      </w:r>
      <w:r>
        <w:rPr>
          <w:rFonts w:hint="eastAsia" w:ascii="宋体" w:hAnsi="宋体"/>
          <w:kern w:val="0"/>
          <w:lang w:bidi="ar"/>
        </w:rPr>
        <w:t>》关于</w:t>
      </w:r>
      <w:r>
        <w:rPr>
          <w:rFonts w:ascii="宋体" w:hAnsi="宋体"/>
          <w:kern w:val="0"/>
          <w:lang w:bidi="ar"/>
        </w:rPr>
        <w:t>基地总平面</w:t>
      </w:r>
      <w:r>
        <w:rPr>
          <w:rFonts w:hint="eastAsia" w:ascii="宋体" w:hAnsi="宋体"/>
          <w:kern w:val="0"/>
          <w:lang w:bidi="ar"/>
        </w:rPr>
        <w:t>的相关规定。</w:t>
      </w:r>
      <w:r>
        <w:rPr>
          <w:rFonts w:ascii="宋体" w:hAnsi="宋体"/>
          <w:kern w:val="0"/>
          <w:lang w:bidi="ar"/>
        </w:rPr>
        <w:t>本条为降低机动车与非机动车在通行上的相互干扰，降低安全隐患。</w:t>
      </w:r>
    </w:p>
    <w:p w14:paraId="79FC25A2">
      <w:pPr>
        <w:pStyle w:val="108"/>
        <w:spacing w:before="312" w:after="312"/>
        <w:outlineLvl w:val="9"/>
      </w:pPr>
      <w:r>
        <w:rPr>
          <w:rFonts w:hint="eastAsia"/>
        </w:rPr>
        <w:t>公共停车场（库）</w:t>
      </w:r>
    </w:p>
    <w:p w14:paraId="52DED78D">
      <w:pPr>
        <w:pStyle w:val="108"/>
        <w:numPr>
          <w:ilvl w:val="2"/>
          <w:numId w:val="36"/>
        </w:numPr>
        <w:spacing w:before="312" w:after="312"/>
        <w:outlineLvl w:val="9"/>
      </w:pPr>
      <w:r>
        <w:rPr>
          <w:rFonts w:hint="eastAsia" w:hAnsi="黑体" w:cs="黑体"/>
          <w:szCs w:val="21"/>
          <w:lang w:bidi="ar"/>
        </w:rPr>
        <w:t>机动车停车场（库）</w:t>
      </w:r>
    </w:p>
    <w:p w14:paraId="0576188C">
      <w:pPr>
        <w:pStyle w:val="108"/>
        <w:numPr>
          <w:ilvl w:val="3"/>
          <w:numId w:val="37"/>
        </w:numPr>
        <w:spacing w:before="312" w:after="312"/>
        <w:outlineLvl w:val="9"/>
      </w:pPr>
      <w:r>
        <w:rPr>
          <w:rFonts w:hint="eastAsia" w:hAnsi="黑体" w:cs="黑体"/>
          <w:szCs w:val="21"/>
          <w:lang w:bidi="ar"/>
        </w:rPr>
        <w:t>一般规定</w:t>
      </w:r>
    </w:p>
    <w:p w14:paraId="06FB789B">
      <w:pPr>
        <w:spacing w:line="240" w:lineRule="auto"/>
        <w:rPr>
          <w:rFonts w:ascii="宋体" w:hAnsi="宋体" w:cs="宋体"/>
        </w:rPr>
      </w:pPr>
      <w:r>
        <w:rPr>
          <w:rFonts w:hint="eastAsia" w:ascii="黑体" w:hAnsi="黑体" w:eastAsia="黑体" w:cs="黑体"/>
          <w:color w:val="000000"/>
          <w:kern w:val="0"/>
          <w:szCs w:val="20"/>
        </w:rPr>
        <w:t>7.1.1</w:t>
      </w:r>
      <w:r>
        <w:rPr>
          <w:rFonts w:hint="eastAsia" w:ascii="宋体" w:hAnsi="宋体" w:cs="宋体"/>
          <w:b/>
          <w:bCs/>
          <w:color w:val="000000"/>
          <w:kern w:val="0"/>
          <w:szCs w:val="20"/>
        </w:rPr>
        <w:t xml:space="preserve">  </w:t>
      </w:r>
      <w:r>
        <w:rPr>
          <w:rFonts w:hint="eastAsia" w:ascii="宋体" w:hAnsi="宋体" w:cs="宋体"/>
        </w:rPr>
        <w:t>本章内的机动车库不包括机械式机动车库。伴随着目前市场上新能源车的兴起，此次规范同样适用于新能源汽车库车位停放标准，机动车的类型和外廓尺寸随机动车生产厂和型号而异。此条规范引自河北省城市停车设施配置及建设导则。</w:t>
      </w:r>
    </w:p>
    <w:p w14:paraId="198CA96A">
      <w:pPr>
        <w:spacing w:line="240" w:lineRule="auto"/>
        <w:rPr>
          <w:rFonts w:ascii="宋体" w:hAnsi="宋体" w:cs="宋体"/>
        </w:rPr>
      </w:pPr>
      <w:r>
        <w:rPr>
          <w:rFonts w:hint="eastAsia" w:ascii="黑体" w:hAnsi="黑体" w:eastAsia="黑体" w:cs="黑体"/>
          <w:color w:val="000000"/>
          <w:kern w:val="0"/>
          <w:szCs w:val="20"/>
        </w:rPr>
        <w:t>7.1.1.2</w:t>
      </w:r>
      <w:r>
        <w:rPr>
          <w:rFonts w:hint="eastAsia" w:ascii="宋体" w:hAnsi="宋体" w:cs="宋体"/>
        </w:rPr>
        <w:t xml:space="preserve">  停车场的各组成部分应细化设计，尽可能满足当前市场各类车型的使用需求。</w:t>
      </w:r>
    </w:p>
    <w:p w14:paraId="4130AB96">
      <w:pPr>
        <w:spacing w:line="240" w:lineRule="auto"/>
        <w:rPr>
          <w:rFonts w:ascii="宋体" w:hAnsi="宋体" w:cs="宋体"/>
        </w:rPr>
      </w:pPr>
      <w:r>
        <w:rPr>
          <w:rFonts w:hint="eastAsia" w:ascii="黑体" w:hAnsi="黑体" w:eastAsia="黑体" w:cs="黑体"/>
          <w:color w:val="000000"/>
          <w:kern w:val="0"/>
          <w:szCs w:val="20"/>
        </w:rPr>
        <w:t>7.1.1.3</w:t>
      </w:r>
      <w:r>
        <w:rPr>
          <w:rFonts w:hint="eastAsia" w:ascii="宋体" w:hAnsi="宋体" w:cs="宋体"/>
        </w:rPr>
        <w:t xml:space="preserve">  为确保行车安全，控制车速，对库内车辆行驶提出了限制车速的要求。</w:t>
      </w:r>
    </w:p>
    <w:p w14:paraId="27F33771">
      <w:pPr>
        <w:spacing w:line="240" w:lineRule="auto"/>
        <w:rPr>
          <w:rFonts w:ascii="宋体" w:hAnsi="宋体" w:cs="宋体"/>
        </w:rPr>
      </w:pPr>
      <w:r>
        <w:rPr>
          <w:rFonts w:hint="eastAsia" w:ascii="黑体" w:hAnsi="黑体" w:eastAsia="黑体" w:cs="黑体"/>
          <w:color w:val="000000"/>
          <w:kern w:val="0"/>
          <w:szCs w:val="20"/>
        </w:rPr>
        <w:t>7.1.1.4</w:t>
      </w:r>
      <w:r>
        <w:rPr>
          <w:rFonts w:hint="eastAsia" w:ascii="宋体" w:hAnsi="宋体" w:cs="宋体"/>
        </w:rPr>
        <w:t xml:space="preserve">  考虑大型汽车尺寸较大，其转弯行进较为困难，建议大型汽车泊车位设置于地面，如条件不允许必须设置于地下车库或地上车库二层及以上时，其坡道应用直线型。</w:t>
      </w:r>
    </w:p>
    <w:p w14:paraId="07DDCA8B">
      <w:pPr>
        <w:spacing w:line="240" w:lineRule="auto"/>
        <w:rPr>
          <w:rFonts w:ascii="宋体" w:hAnsi="宋体" w:cs="宋体"/>
        </w:rPr>
      </w:pPr>
      <w:r>
        <w:rPr>
          <w:rFonts w:hint="eastAsia" w:ascii="黑体" w:hAnsi="黑体" w:eastAsia="黑体" w:cs="黑体"/>
          <w:color w:val="000000"/>
          <w:kern w:val="0"/>
          <w:szCs w:val="20"/>
        </w:rPr>
        <w:t>7.1.1.5</w:t>
      </w:r>
      <w:r>
        <w:rPr>
          <w:rFonts w:hint="eastAsia" w:ascii="宋体" w:hAnsi="宋体" w:cs="宋体"/>
        </w:rPr>
        <w:t xml:space="preserve">  原单车指标要求引自城市停车规划规范5.1.4，本条根据车库的大小及类型对其车均面积进行一个更加细致的估测，因地块形状、大小、上部是否存在建筑单体影响及车库规模等对单车指标存在一定的影响，可根据地块具体情况而调整，此条仅作为参考。</w:t>
      </w:r>
    </w:p>
    <w:p w14:paraId="581B61F5">
      <w:pPr>
        <w:spacing w:after="312" w:afterLines="100" w:line="240" w:lineRule="auto"/>
        <w:rPr>
          <w:rFonts w:ascii="宋体" w:hAnsi="宋体" w:cs="宋体"/>
        </w:rPr>
      </w:pPr>
      <w:r>
        <w:rPr>
          <w:rFonts w:hint="eastAsia" w:ascii="黑体" w:hAnsi="黑体" w:eastAsia="黑体" w:cs="黑体"/>
          <w:color w:val="000000"/>
          <w:kern w:val="0"/>
          <w:szCs w:val="20"/>
        </w:rPr>
        <w:t xml:space="preserve">7.1.1.6  </w:t>
      </w:r>
      <w:r>
        <w:rPr>
          <w:rFonts w:hint="eastAsia" w:ascii="宋体" w:hAnsi="宋体" w:cs="宋体"/>
        </w:rPr>
        <w:t>本条引自《福建省绿色建筑设计标准》第4.2.4条。</w:t>
      </w:r>
    </w:p>
    <w:p w14:paraId="581DBF6D">
      <w:pPr>
        <w:pStyle w:val="108"/>
        <w:numPr>
          <w:ilvl w:val="3"/>
          <w:numId w:val="37"/>
        </w:numPr>
        <w:spacing w:before="312" w:after="312"/>
        <w:outlineLvl w:val="9"/>
      </w:pPr>
      <w:r>
        <w:rPr>
          <w:rFonts w:hint="eastAsia"/>
        </w:rPr>
        <w:t>出入口及坡道</w:t>
      </w:r>
    </w:p>
    <w:p w14:paraId="0D3071B0">
      <w:pPr>
        <w:spacing w:before="312" w:beforeLines="100" w:line="240" w:lineRule="auto"/>
      </w:pPr>
      <w:r>
        <w:rPr>
          <w:rFonts w:hint="eastAsia" w:ascii="黑体" w:hAnsi="黑体" w:eastAsia="黑体" w:cs="黑体"/>
          <w:color w:val="000000"/>
          <w:kern w:val="0"/>
          <w:szCs w:val="20"/>
        </w:rPr>
        <w:t xml:space="preserve">7.1.2.1  </w:t>
      </w:r>
      <w:r>
        <w:t>出入口形式选择根据项目情况而定，目前地下机动车库一般以坡道式为主，地面停车场一般以平入式为主，升降梯式要求较高且成本投入较大，一般不推荐使用。</w:t>
      </w:r>
    </w:p>
    <w:p w14:paraId="796A703A">
      <w:pPr>
        <w:spacing w:line="240" w:lineRule="auto"/>
      </w:pPr>
      <w:r>
        <w:rPr>
          <w:rFonts w:hint="eastAsia" w:ascii="黑体" w:hAnsi="黑体" w:eastAsia="黑体" w:cs="黑体"/>
          <w:color w:val="000000"/>
          <w:kern w:val="0"/>
          <w:szCs w:val="20"/>
        </w:rPr>
        <w:t xml:space="preserve">7.1.2.2  </w:t>
      </w:r>
      <w:r>
        <w:t>出入口与室外连通时应考虑一定的高差以防止雨水倒灌，且起坡点应与基地道路和城市道路控制一定的距离，以保证会车安全。</w:t>
      </w:r>
    </w:p>
    <w:p w14:paraId="1ADB7583">
      <w:pPr>
        <w:spacing w:line="240" w:lineRule="auto"/>
      </w:pPr>
      <w:r>
        <w:rPr>
          <w:rFonts w:hint="eastAsia" w:ascii="黑体" w:hAnsi="黑体" w:eastAsia="黑体" w:cs="黑体"/>
          <w:color w:val="000000"/>
          <w:kern w:val="0"/>
          <w:szCs w:val="20"/>
        </w:rPr>
        <w:t>7.1.2.3</w:t>
      </w:r>
      <w:r>
        <w:rPr>
          <w:rFonts w:ascii="宋体" w:hAnsi="宋体" w:cs="宋体"/>
          <w:b/>
          <w:bCs/>
          <w:color w:val="000000"/>
          <w:kern w:val="0"/>
          <w:szCs w:val="20"/>
        </w:rPr>
        <w:t xml:space="preserve"> </w:t>
      </w:r>
      <w:r>
        <w:rPr>
          <w:rFonts w:hint="eastAsia" w:ascii="宋体" w:hAnsi="宋体" w:cs="宋体"/>
          <w:b/>
          <w:bCs/>
          <w:color w:val="000000"/>
          <w:kern w:val="0"/>
          <w:szCs w:val="20"/>
        </w:rPr>
        <w:t xml:space="preserve"> </w:t>
      </w:r>
      <w:r>
        <w:t>坡道式出入口可选择直线、曲线不同的组合方式，建议在条件允许情况下以直线形式为主，且坡道地段避免设置十字交叉口，避免车流交叉造成安全问题。</w:t>
      </w:r>
    </w:p>
    <w:p w14:paraId="4FB8B32A">
      <w:pPr>
        <w:pStyle w:val="108"/>
        <w:numPr>
          <w:ilvl w:val="3"/>
          <w:numId w:val="37"/>
        </w:numPr>
        <w:spacing w:before="312" w:after="312"/>
        <w:outlineLvl w:val="9"/>
      </w:pPr>
      <w:r>
        <w:rPr>
          <w:rFonts w:hint="eastAsia"/>
        </w:rPr>
        <w:t>停车区域</w:t>
      </w:r>
    </w:p>
    <w:p w14:paraId="04917921">
      <w:pPr>
        <w:spacing w:line="240" w:lineRule="auto"/>
        <w:rPr>
          <w:rFonts w:ascii="宋体" w:hAnsi="宋体" w:cs="宋体"/>
        </w:rPr>
      </w:pPr>
      <w:r>
        <w:rPr>
          <w:rFonts w:hint="eastAsia" w:ascii="黑体" w:hAnsi="黑体" w:eastAsia="黑体" w:cs="黑体"/>
          <w:color w:val="000000"/>
          <w:kern w:val="0"/>
          <w:szCs w:val="20"/>
        </w:rPr>
        <w:t>7.1.3.4</w:t>
      </w:r>
      <w:r>
        <w:rPr>
          <w:rFonts w:hint="eastAsia" w:ascii="宋体" w:hAnsi="宋体" w:cs="宋体"/>
          <w:b/>
          <w:bCs/>
          <w:color w:val="000000"/>
          <w:kern w:val="0"/>
          <w:szCs w:val="20"/>
        </w:rPr>
        <w:t xml:space="preserve">  </w:t>
      </w:r>
      <w:r>
        <w:rPr>
          <w:rFonts w:hint="eastAsia" w:ascii="宋体" w:hAnsi="宋体" w:cs="宋体"/>
        </w:rPr>
        <w:t>机动车与机动车、墙、柱、扶栏之间的净距是按三种停车方式均满足一次出车和防火要求确定的。当平行停车时将机动车间纵向间距定位1200mm和2400mm，是为了满足一次出车要求。机动车间横向间距主要烤炉到驾驶员开门进出的需求，实测国产小型轿车600mm时可以进入，此要求目前《厦门市</w:t>
      </w:r>
      <w:r>
        <w:rPr>
          <w:rFonts w:hint="eastAsia" w:ascii="宋体" w:hAnsi="宋体" w:cs="宋体"/>
          <w:lang w:eastAsia="zh-CN"/>
        </w:rPr>
        <w:t>国土空间规划</w:t>
      </w:r>
      <w:r>
        <w:rPr>
          <w:rFonts w:hint="eastAsia" w:ascii="宋体" w:hAnsi="宋体" w:cs="宋体"/>
        </w:rPr>
        <w:t>管理技术规定（2021年版）》7.4.4条有做出详细说明。</w:t>
      </w:r>
    </w:p>
    <w:p w14:paraId="3C17DB72">
      <w:pPr>
        <w:pStyle w:val="108"/>
        <w:numPr>
          <w:ilvl w:val="3"/>
          <w:numId w:val="37"/>
        </w:numPr>
        <w:spacing w:before="312" w:after="312"/>
        <w:outlineLvl w:val="9"/>
      </w:pPr>
      <w:r>
        <w:rPr>
          <w:rFonts w:hint="eastAsia"/>
        </w:rPr>
        <w:t>地面公共停车场</w:t>
      </w:r>
    </w:p>
    <w:p w14:paraId="7E38D947">
      <w:pPr>
        <w:spacing w:line="240" w:lineRule="auto"/>
        <w:rPr>
          <w:rFonts w:ascii="宋体" w:hAnsi="宋体" w:cs="宋体"/>
        </w:rPr>
      </w:pPr>
      <w:r>
        <w:rPr>
          <w:rFonts w:hint="eastAsia" w:ascii="黑体" w:hAnsi="黑体" w:eastAsia="黑体" w:cs="黑体"/>
          <w:color w:val="000000"/>
          <w:kern w:val="0"/>
          <w:szCs w:val="20"/>
        </w:rPr>
        <w:t xml:space="preserve">7.1.4.2  </w:t>
      </w:r>
      <w:r>
        <w:rPr>
          <w:rFonts w:ascii="宋体" w:hAnsi="宋体" w:cs="宋体"/>
          <w:lang w:bidi="ar"/>
        </w:rPr>
        <w:t>绿化设计应结合城市风貌设计，且种植树木的生长应以不影响车辆行驶为主。</w:t>
      </w:r>
      <w:r>
        <w:rPr>
          <w:rFonts w:hint="eastAsia" w:ascii="宋体" w:hAnsi="宋体" w:cs="宋体"/>
        </w:rPr>
        <w:t>林荫停车场按主要绿化形式分为四种，即树阵式、乔灌式、棚架式和综合式。</w:t>
      </w:r>
    </w:p>
    <w:p w14:paraId="7D1EFA14">
      <w:pPr>
        <w:spacing w:line="240" w:lineRule="auto"/>
        <w:ind w:firstLine="630" w:firstLineChars="300"/>
        <w:rPr>
          <w:rFonts w:ascii="宋体" w:hAnsi="宋体" w:cs="宋体"/>
        </w:rPr>
      </w:pPr>
      <w:r>
        <w:rPr>
          <w:rFonts w:hint="eastAsia" w:ascii="黑体" w:hAnsi="黑体" w:eastAsia="黑体" w:cs="黑体"/>
        </w:rPr>
        <w:t>1</w:t>
      </w:r>
      <w:r>
        <w:rPr>
          <w:rFonts w:hint="eastAsia" w:ascii="宋体" w:hAnsi="宋体" w:cs="宋体"/>
        </w:rPr>
        <w:t xml:space="preserve">  树阵式：在两排停车位背靠背之间或每2~4个停车位间设置树穴栽植树列布置树穴间栽植数列，树穴</w:t>
      </w:r>
      <w:r>
        <w:rPr>
          <w:rFonts w:ascii="宋体" w:hAnsi="宋体" w:cs="宋体"/>
        </w:rPr>
        <w:t>可</w:t>
      </w:r>
      <w:r>
        <w:rPr>
          <w:rFonts w:hint="eastAsia" w:ascii="宋体" w:hAnsi="宋体" w:cs="宋体"/>
        </w:rPr>
        <w:t>高出地坪铺装材料15cm，也可以与停车位铺装地坪相平，树穴宜为1.5*1.5m宽；</w:t>
      </w:r>
    </w:p>
    <w:p w14:paraId="624178EB">
      <w:pPr>
        <w:spacing w:line="240" w:lineRule="auto"/>
        <w:ind w:firstLine="630" w:firstLineChars="300"/>
        <w:rPr>
          <w:rFonts w:ascii="宋体" w:hAnsi="宋体" w:cs="宋体"/>
        </w:rPr>
      </w:pPr>
      <w:r>
        <w:rPr>
          <w:rFonts w:hint="eastAsia" w:ascii="黑体" w:hAnsi="黑体" w:eastAsia="黑体" w:cs="黑体"/>
        </w:rPr>
        <w:t>2</w:t>
      </w:r>
      <w:r>
        <w:rPr>
          <w:rFonts w:hint="eastAsia" w:ascii="宋体" w:hAnsi="宋体" w:cs="宋体"/>
        </w:rPr>
        <w:t xml:space="preserve">  乔灌式：在每两排停车位背靠背之间或每2~4个停车位间设置一条绿化隔离带，乔木栽植在绿化带内，乔木间距4~5m种植。隔离带形式有草坪隔离带、绿篱隔离带及花灌木、地被隔离带三种；</w:t>
      </w:r>
    </w:p>
    <w:p w14:paraId="52FCAC88">
      <w:pPr>
        <w:spacing w:line="240" w:lineRule="auto"/>
        <w:ind w:firstLine="630" w:firstLineChars="300"/>
        <w:rPr>
          <w:rFonts w:ascii="宋体" w:hAnsi="宋体" w:cs="宋体"/>
        </w:rPr>
      </w:pPr>
      <w:r>
        <w:rPr>
          <w:rFonts w:hint="eastAsia" w:ascii="黑体" w:hAnsi="黑体" w:eastAsia="黑体" w:cs="黑体"/>
        </w:rPr>
        <w:t>3</w:t>
      </w:r>
      <w:r>
        <w:rPr>
          <w:rFonts w:hint="eastAsia" w:ascii="宋体" w:hAnsi="宋体" w:cs="宋体"/>
        </w:rPr>
        <w:t xml:space="preserve">  棚架式：该模式实在停车位上方搭建棚架，棚架内或周围设置栽植槽以栽植藤本植物。藤架的形式与材质根据周边环境而定，藤架的高度</w:t>
      </w:r>
      <w:r>
        <w:rPr>
          <w:rFonts w:ascii="宋体" w:hAnsi="宋体" w:cs="宋体"/>
        </w:rPr>
        <w:t>应</w:t>
      </w:r>
      <w:r>
        <w:rPr>
          <w:rFonts w:hint="eastAsia" w:ascii="宋体" w:hAnsi="宋体" w:cs="宋体"/>
        </w:rPr>
        <w:t>根据具体停放的车型而定，藤架设计需要符合结构力学支撑。常用的棚架建筑材料有金属材料、混凝土材料、石材、仿木材料等。</w:t>
      </w:r>
    </w:p>
    <w:p w14:paraId="1BA8629C">
      <w:pPr>
        <w:spacing w:line="240" w:lineRule="auto"/>
        <w:ind w:firstLine="630" w:firstLineChars="300"/>
        <w:rPr>
          <w:rFonts w:ascii="宋体" w:hAnsi="宋体" w:cs="宋体"/>
          <w:lang w:bidi="ar"/>
        </w:rPr>
      </w:pPr>
      <w:r>
        <w:rPr>
          <w:rFonts w:hint="eastAsia" w:ascii="黑体" w:hAnsi="黑体" w:eastAsia="黑体" w:cs="黑体"/>
        </w:rPr>
        <w:t>4</w:t>
      </w:r>
      <w:r>
        <w:rPr>
          <w:rFonts w:hint="eastAsia" w:ascii="宋体" w:hAnsi="宋体" w:cs="宋体"/>
        </w:rPr>
        <w:t xml:space="preserve">  综合式停车场：由树阵式、乔灌式、棚架式三种绿化形式或其他形式组合形成的林荫停车场。</w:t>
      </w:r>
    </w:p>
    <w:p w14:paraId="38E02AF4">
      <w:pPr>
        <w:pStyle w:val="108"/>
        <w:numPr>
          <w:ilvl w:val="2"/>
          <w:numId w:val="36"/>
        </w:numPr>
        <w:spacing w:before="312" w:after="312"/>
        <w:outlineLvl w:val="9"/>
        <w:rPr>
          <w:rFonts w:ascii="宋体" w:hAnsi="宋体" w:eastAsia="宋体" w:cs="宋体"/>
          <w:strike/>
        </w:rPr>
      </w:pPr>
      <w:r>
        <w:rPr>
          <w:rFonts w:hint="eastAsia" w:hAnsi="黑体" w:cs="黑体"/>
          <w:szCs w:val="21"/>
          <w:lang w:bidi="ar"/>
        </w:rPr>
        <w:t>非机动车停车场（库）</w:t>
      </w:r>
    </w:p>
    <w:p w14:paraId="7532E451">
      <w:pPr>
        <w:spacing w:line="240" w:lineRule="auto"/>
        <w:rPr>
          <w:rFonts w:ascii="宋体" w:hAnsi="宋体" w:cs="宋体"/>
          <w:b/>
          <w:bCs/>
          <w:kern w:val="0"/>
          <w:szCs w:val="20"/>
        </w:rPr>
      </w:pPr>
      <w:r>
        <w:rPr>
          <w:rFonts w:hint="eastAsia" w:ascii="黑体" w:hAnsi="黑体" w:eastAsia="黑体" w:cs="黑体"/>
          <w:kern w:val="0"/>
          <w:szCs w:val="20"/>
        </w:rPr>
        <w:t>7.2.1</w:t>
      </w:r>
      <w:r>
        <w:rPr>
          <w:rFonts w:hint="eastAsia" w:ascii="宋体" w:hAnsi="宋体" w:cs="宋体"/>
          <w:b/>
          <w:bCs/>
          <w:kern w:val="0"/>
          <w:szCs w:val="20"/>
        </w:rPr>
        <w:t xml:space="preserve">  </w:t>
      </w:r>
      <w:r>
        <w:rPr>
          <w:rFonts w:hint="eastAsia" w:ascii="宋体" w:hAnsi="宋体" w:cs="宋体"/>
          <w:kern w:val="0"/>
          <w:szCs w:val="20"/>
        </w:rPr>
        <w:t>参考《车库建筑设计规范》6.2.2条规定，对非机动车库出入口和机动车库出入口在出地面处的间距限制，保证非机动车库与机动车使用安全。</w:t>
      </w:r>
    </w:p>
    <w:p w14:paraId="0E88E68B">
      <w:pPr>
        <w:spacing w:line="240" w:lineRule="auto"/>
        <w:rPr>
          <w:rFonts w:ascii="宋体" w:hAnsi="宋体" w:cs="宋体"/>
          <w:kern w:val="0"/>
          <w:shd w:val="clear" w:color="auto" w:fill="FFFFFF"/>
        </w:rPr>
      </w:pPr>
      <w:r>
        <w:rPr>
          <w:rFonts w:hint="eastAsia" w:ascii="黑体" w:hAnsi="黑体" w:eastAsia="黑体" w:cs="黑体"/>
          <w:kern w:val="0"/>
          <w:szCs w:val="20"/>
        </w:rPr>
        <w:t>7.2.2</w:t>
      </w:r>
      <w:r>
        <w:rPr>
          <w:rFonts w:hint="eastAsia" w:ascii="宋体" w:hAnsi="宋体" w:cs="宋体"/>
          <w:b/>
          <w:bCs/>
          <w:kern w:val="0"/>
          <w:szCs w:val="20"/>
        </w:rPr>
        <w:t xml:space="preserve">  </w:t>
      </w:r>
      <w:r>
        <w:rPr>
          <w:rFonts w:hint="eastAsia" w:ascii="宋体" w:hAnsi="宋体" w:cs="宋体"/>
          <w:kern w:val="0"/>
          <w:szCs w:val="20"/>
        </w:rPr>
        <w:t>为实现公共交通与步行，非机动车等慢行交通方式便捷换乘，充分利用公共交通车站周边公共设施用地空间，预留与换乘客流规模相匹配的非机动车停车场。参考《厦门市国土空间规划管理技术规定》，对设置在公共停车场内的非机动车换乘停车场与轨道交</w:t>
      </w:r>
      <w:r>
        <w:rPr>
          <w:rFonts w:hint="eastAsia" w:ascii="宋体" w:hAnsi="宋体" w:cs="宋体"/>
          <w:kern w:val="0"/>
          <w:shd w:val="clear" w:color="auto" w:fill="FFFFFF"/>
        </w:rPr>
        <w:t>通车站出入口的距离提出要求，建议有条件的公交枢纽站和公交车站参考该要求。</w:t>
      </w:r>
    </w:p>
    <w:p w14:paraId="78FD2B90">
      <w:pPr>
        <w:spacing w:line="240" w:lineRule="auto"/>
        <w:rPr>
          <w:rFonts w:ascii="宋体" w:hAnsi="宋体" w:cs="宋体"/>
          <w:b/>
          <w:bCs/>
          <w:color w:val="000000"/>
          <w:kern w:val="0"/>
          <w:szCs w:val="20"/>
        </w:rPr>
      </w:pPr>
      <w:r>
        <w:rPr>
          <w:rFonts w:hint="eastAsia" w:ascii="黑体" w:hAnsi="黑体" w:eastAsia="黑体" w:cs="黑体"/>
          <w:color w:val="000000"/>
          <w:kern w:val="0"/>
          <w:szCs w:val="20"/>
        </w:rPr>
        <w:t>7.2.3</w:t>
      </w:r>
      <w:r>
        <w:rPr>
          <w:rFonts w:hint="eastAsia" w:ascii="宋体" w:hAnsi="宋体" w:cs="宋体"/>
          <w:b/>
          <w:bCs/>
          <w:color w:val="000000"/>
          <w:kern w:val="0"/>
          <w:szCs w:val="20"/>
        </w:rPr>
        <w:t xml:space="preserve">  </w:t>
      </w:r>
      <w:r>
        <w:rPr>
          <w:rFonts w:hint="eastAsia" w:ascii="宋体" w:hAnsi="宋体" w:cs="宋体"/>
        </w:rPr>
        <w:t>根据我国现行的交通规定，电动自行车属于非机动车，本条所指非机动车包括自行车和电动自行车以及其他人力车辆。非机动车停车场出入口不宜设置在交叉路口附近是为了减少对城市道路的交通影响；市政公共停车场中的非机动车停车数量可能较大，当停车数大于300辆应增设出入口数量满足通行和疏散要求。电动自行车尺寸较大，对非机动车的出入口宽度提出最小尺寸规定，是为了方便电动自行车的通行。对停车区提出按组布置是为了通行顺畅。</w:t>
      </w:r>
    </w:p>
    <w:p w14:paraId="7A31B22B">
      <w:pPr>
        <w:spacing w:line="240" w:lineRule="auto"/>
        <w:rPr>
          <w:rFonts w:ascii="宋体" w:hAnsi="宋体" w:cs="宋体"/>
        </w:rPr>
      </w:pPr>
      <w:r>
        <w:rPr>
          <w:rFonts w:hint="eastAsia" w:ascii="黑体" w:hAnsi="黑体" w:eastAsia="黑体" w:cs="黑体"/>
          <w:color w:val="000000"/>
          <w:kern w:val="0"/>
          <w:szCs w:val="20"/>
        </w:rPr>
        <w:t>7.2.4</w:t>
      </w:r>
      <w:r>
        <w:rPr>
          <w:rFonts w:hint="eastAsia" w:ascii="宋体" w:hAnsi="宋体" w:cs="宋体"/>
          <w:color w:val="000000"/>
          <w:kern w:val="0"/>
          <w:shd w:val="clear" w:color="auto" w:fill="FFFFFF"/>
        </w:rPr>
        <w:t xml:space="preserve">  </w:t>
      </w:r>
      <w:r>
        <w:rPr>
          <w:rFonts w:hint="eastAsia" w:ascii="宋体" w:hAnsi="宋体" w:cs="宋体"/>
          <w:kern w:val="0"/>
          <w:szCs w:val="20"/>
        </w:rPr>
        <w:t>非机动车在坡道上推行困难，需要限制推行长度和高度。</w:t>
      </w:r>
      <w:r>
        <w:rPr>
          <w:rFonts w:hint="eastAsia" w:ascii="宋体" w:hAnsi="宋体" w:cs="宋体"/>
        </w:rPr>
        <w:t>根据《电动自行车安全技术规范》规定，装配完整的电动自行车的整车质量小于或等于55KG，可见电动自行车在坡道上推行难度更大，建议停放在地面，同时规定当停放地坪与室外地坪高差大于7m时，应设置机械提升设施。</w:t>
      </w:r>
    </w:p>
    <w:p w14:paraId="2787D752">
      <w:pPr>
        <w:spacing w:line="240" w:lineRule="auto"/>
        <w:rPr>
          <w:rFonts w:ascii="宋体" w:hAnsi="宋体" w:cs="宋体"/>
        </w:rPr>
      </w:pPr>
      <w:r>
        <w:rPr>
          <w:rFonts w:hint="eastAsia" w:ascii="黑体" w:hAnsi="黑体" w:eastAsia="黑体" w:cs="黑体"/>
          <w:kern w:val="0"/>
          <w:szCs w:val="20"/>
        </w:rPr>
        <w:t xml:space="preserve">7.2.5 </w:t>
      </w:r>
      <w:r>
        <w:rPr>
          <w:rFonts w:hint="eastAsia" w:ascii="宋体" w:hAnsi="宋体" w:cs="宋体"/>
          <w:b/>
          <w:bCs/>
          <w:kern w:val="0"/>
          <w:szCs w:val="20"/>
        </w:rPr>
        <w:t xml:space="preserve"> </w:t>
      </w:r>
      <w:r>
        <w:rPr>
          <w:rFonts w:hint="eastAsia" w:ascii="宋体" w:hAnsi="宋体" w:cs="宋体"/>
        </w:rPr>
        <w:t>踏步式出入口是指中间为人行楼梯两侧为自行车推行坡道或中间为自行车推行坡道两侧为人行楼梯的出入口；坡道式出入口是指只设坡道人车混行的出入口。根据前款提到的电动自行车重量大，推行困难，应使用坡道式出入口。而传统非动力自行车重量较轻，一般在12KG~16KG之间，基本使用踏步式出入口 。</w:t>
      </w:r>
    </w:p>
    <w:p w14:paraId="5ED49128">
      <w:pPr>
        <w:spacing w:line="240" w:lineRule="auto"/>
        <w:rPr>
          <w:rFonts w:ascii="宋体" w:hAnsi="宋体" w:cs="宋体"/>
        </w:rPr>
      </w:pPr>
      <w:r>
        <w:rPr>
          <w:rFonts w:hint="eastAsia" w:ascii="黑体" w:hAnsi="黑体" w:eastAsia="黑体" w:cs="黑体"/>
          <w:kern w:val="0"/>
          <w:szCs w:val="20"/>
        </w:rPr>
        <w:t>7.2.6</w:t>
      </w:r>
      <w:r>
        <w:rPr>
          <w:rFonts w:hint="eastAsia" w:ascii="宋体" w:hAnsi="宋体" w:cs="宋体"/>
          <w:b/>
          <w:bCs/>
          <w:kern w:val="0"/>
          <w:szCs w:val="20"/>
        </w:rPr>
        <w:t xml:space="preserve">  </w:t>
      </w:r>
      <w:r>
        <w:rPr>
          <w:rFonts w:hint="eastAsia" w:ascii="宋体" w:hAnsi="宋体" w:cs="宋体"/>
        </w:rPr>
        <w:t>考虑推行车辆的使用安全，设置踏步式出入口的非机动车库，踏步式坡道多采用中间为推行坡道两侧为人行台阶。结合电动自行车0.8m宽度，推行坡道宽度不小于1m。</w:t>
      </w:r>
    </w:p>
    <w:p w14:paraId="7E755659">
      <w:pPr>
        <w:pStyle w:val="108"/>
        <w:numPr>
          <w:ilvl w:val="2"/>
          <w:numId w:val="36"/>
        </w:numPr>
        <w:spacing w:before="312" w:after="312"/>
        <w:outlineLvl w:val="9"/>
      </w:pPr>
      <w:r>
        <w:rPr>
          <w:rFonts w:hint="eastAsia" w:hAnsi="黑体" w:cs="黑体"/>
          <w:szCs w:val="21"/>
          <w:lang w:bidi="ar"/>
        </w:rPr>
        <w:t>人民防空地下室</w:t>
      </w:r>
    </w:p>
    <w:p w14:paraId="39488136">
      <w:pPr>
        <w:spacing w:line="240" w:lineRule="auto"/>
        <w:jc w:val="left"/>
        <w:rPr>
          <w:rFonts w:ascii="宋体" w:hAnsi="宋体" w:cs="宋体"/>
          <w:szCs w:val="22"/>
          <w:lang w:bidi="ar"/>
        </w:rPr>
      </w:pPr>
      <w:r>
        <w:rPr>
          <w:rFonts w:hint="eastAsia" w:ascii="黑体" w:hAnsi="黑体" w:eastAsia="黑体" w:cs="黑体"/>
          <w:kern w:val="0"/>
          <w:szCs w:val="20"/>
        </w:rPr>
        <w:t>7.</w:t>
      </w:r>
      <w:r>
        <w:rPr>
          <w:rFonts w:hint="eastAsia" w:ascii="黑体" w:hAnsi="黑体" w:eastAsia="黑体" w:cs="黑体"/>
          <w:kern w:val="0"/>
          <w:szCs w:val="20"/>
          <w:lang w:val="en-US" w:eastAsia="zh-CN"/>
        </w:rPr>
        <w:t>3</w:t>
      </w:r>
      <w:r>
        <w:rPr>
          <w:rFonts w:hint="eastAsia" w:ascii="黑体" w:hAnsi="黑体" w:eastAsia="黑体" w:cs="黑体"/>
          <w:kern w:val="0"/>
          <w:szCs w:val="20"/>
        </w:rPr>
        <w:t>.1</w:t>
      </w:r>
      <w:r>
        <w:rPr>
          <w:rFonts w:hint="eastAsia" w:ascii="宋体" w:hAnsi="宋体" w:cs="宋体"/>
          <w:b/>
          <w:bCs/>
          <w:kern w:val="0"/>
          <w:szCs w:val="20"/>
        </w:rPr>
        <w:t xml:space="preserve">  </w:t>
      </w:r>
      <w:r>
        <w:rPr>
          <w:rFonts w:ascii="宋体" w:hAnsi="宋体" w:cs="宋体"/>
          <w:szCs w:val="22"/>
          <w:lang w:bidi="ar"/>
        </w:rPr>
        <w:t>地下车库人防设计应符合相关规范规定要求。</w:t>
      </w:r>
    </w:p>
    <w:p w14:paraId="6566BFA4">
      <w:pPr>
        <w:spacing w:line="240" w:lineRule="auto"/>
        <w:jc w:val="left"/>
        <w:rPr>
          <w:rFonts w:ascii="宋体" w:hAnsi="宋体" w:cs="宋体"/>
          <w:szCs w:val="22"/>
          <w:lang w:bidi="ar"/>
        </w:rPr>
      </w:pPr>
      <w:r>
        <w:rPr>
          <w:rFonts w:hint="eastAsia" w:ascii="黑体" w:hAnsi="黑体" w:eastAsia="黑体" w:cs="黑体"/>
          <w:kern w:val="0"/>
          <w:szCs w:val="20"/>
        </w:rPr>
        <w:t>7.</w:t>
      </w:r>
      <w:r>
        <w:rPr>
          <w:rFonts w:hint="eastAsia" w:ascii="黑体" w:hAnsi="黑体" w:eastAsia="黑体" w:cs="黑体"/>
          <w:kern w:val="0"/>
          <w:szCs w:val="20"/>
          <w:lang w:val="en-US" w:eastAsia="zh-CN"/>
        </w:rPr>
        <w:t>3</w:t>
      </w:r>
      <w:r>
        <w:rPr>
          <w:rFonts w:hint="eastAsia" w:ascii="黑体" w:hAnsi="黑体" w:eastAsia="黑体" w:cs="黑体"/>
          <w:kern w:val="0"/>
          <w:szCs w:val="20"/>
        </w:rPr>
        <w:t>.2</w:t>
      </w:r>
      <w:r>
        <w:rPr>
          <w:rFonts w:hint="eastAsia" w:ascii="宋体" w:hAnsi="宋体" w:cs="宋体"/>
          <w:b/>
          <w:bCs/>
          <w:kern w:val="0"/>
          <w:szCs w:val="20"/>
        </w:rPr>
        <w:t xml:space="preserve">  </w:t>
      </w:r>
      <w:r>
        <w:rPr>
          <w:rFonts w:hint="eastAsia" w:ascii="宋体" w:hAnsi="宋体" w:cs="宋体"/>
          <w:szCs w:val="22"/>
          <w:lang w:bidi="ar"/>
        </w:rPr>
        <w:t>单独建设的城市地下空间的开发利用应</w:t>
      </w:r>
      <w:r>
        <w:rPr>
          <w:rFonts w:ascii="宋体" w:hAnsi="宋体" w:cs="宋体"/>
          <w:szCs w:val="22"/>
          <w:lang w:bidi="ar"/>
        </w:rPr>
        <w:t>应符合</w:t>
      </w:r>
      <w:r>
        <w:rPr>
          <w:rFonts w:hint="eastAsia" w:ascii="宋体" w:hAnsi="宋体" w:cs="宋体"/>
          <w:szCs w:val="22"/>
          <w:lang w:bidi="ar"/>
        </w:rPr>
        <w:t>《福建省城市地下空间开发兼顾人民防空需要设计技术标准》闽RF01-2014</w:t>
      </w:r>
      <w:r>
        <w:rPr>
          <w:rFonts w:ascii="宋体" w:hAnsi="宋体" w:cs="宋体"/>
          <w:szCs w:val="22"/>
          <w:lang w:bidi="ar"/>
        </w:rPr>
        <w:t>等相关规定的要求。</w:t>
      </w:r>
    </w:p>
    <w:p w14:paraId="4D1DDC99">
      <w:pPr>
        <w:pStyle w:val="108"/>
        <w:numPr>
          <w:ilvl w:val="2"/>
          <w:numId w:val="36"/>
        </w:numPr>
        <w:spacing w:before="312" w:after="312"/>
        <w:outlineLvl w:val="9"/>
      </w:pPr>
      <w:r>
        <w:rPr>
          <w:rFonts w:hint="eastAsia" w:hAnsi="黑体" w:cs="黑体"/>
          <w:szCs w:val="21"/>
          <w:lang w:bidi="ar"/>
        </w:rPr>
        <w:t>地下室创新设计</w:t>
      </w:r>
    </w:p>
    <w:p w14:paraId="1A6A73CD">
      <w:pPr>
        <w:rPr>
          <w:rFonts w:ascii="宋体" w:hAnsi="宋体" w:cs="宋体"/>
          <w:szCs w:val="22"/>
          <w:lang w:bidi="ar"/>
        </w:rPr>
      </w:pPr>
      <w:r>
        <w:rPr>
          <w:rFonts w:ascii="宋体" w:hAnsi="宋体" w:cs="宋体"/>
          <w:szCs w:val="22"/>
          <w:lang w:bidi="ar"/>
        </w:rPr>
        <w:t>7.4.1 阳光地下室</w:t>
      </w:r>
      <w:r>
        <w:rPr>
          <w:rFonts w:hint="eastAsia" w:ascii="宋体" w:hAnsi="宋体" w:cs="宋体"/>
          <w:szCs w:val="22"/>
          <w:lang w:bidi="ar"/>
        </w:rPr>
        <w:t>不仅满足了人们生理层次的需求，也有效的改善了地下建筑环境，让“低碳环保”具体的融入到我们建筑设计之中。</w:t>
      </w:r>
    </w:p>
    <w:p w14:paraId="4140F856">
      <w:pPr>
        <w:pStyle w:val="108"/>
        <w:numPr>
          <w:ilvl w:val="1"/>
          <w:numId w:val="0"/>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 xml:space="preserve">7.4.1.1 </w:t>
      </w:r>
      <w:r>
        <w:rPr>
          <w:rFonts w:hint="eastAsia" w:ascii="宋体" w:hAnsi="宋体" w:eastAsia="宋体" w:cs="宋体"/>
          <w:kern w:val="2"/>
          <w:szCs w:val="22"/>
          <w:lang w:bidi="ar"/>
        </w:rPr>
        <w:t>地下室侧壁采光法指的是积极利用场地内不利的高差，在侧壁合理的位置开口，使内外空间的渗透形成流畅的通风效应，增强建筑底部空间的空气流动。地下室侧壁采光法主要有以下三种设计手法：高侧窗采光法、护坡采光法、侧壁位屋顶板采光法。</w:t>
      </w:r>
    </w:p>
    <w:p w14:paraId="676F73D9">
      <w:pPr>
        <w:pStyle w:val="108"/>
        <w:numPr>
          <w:ilvl w:val="1"/>
          <w:numId w:val="0"/>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 xml:space="preserve">7.4.1.2 </w:t>
      </w:r>
      <w:r>
        <w:rPr>
          <w:rFonts w:hint="eastAsia" w:ascii="宋体" w:hAnsi="宋体" w:eastAsia="宋体" w:cs="宋体"/>
          <w:kern w:val="2"/>
          <w:szCs w:val="22"/>
          <w:lang w:bidi="ar"/>
        </w:rPr>
        <w:t>下沉式庭院采光法使地面空间呈现正负、明暗、闹静、封敞等空间形态的变化。</w:t>
      </w:r>
    </w:p>
    <w:p w14:paraId="0B4F25A6">
      <w:pPr>
        <w:pStyle w:val="108"/>
        <w:numPr>
          <w:ilvl w:val="1"/>
          <w:numId w:val="0"/>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 xml:space="preserve">7.4.1.3 </w:t>
      </w:r>
      <w:r>
        <w:rPr>
          <w:rFonts w:hint="eastAsia" w:ascii="宋体" w:hAnsi="宋体" w:eastAsia="宋体" w:cs="宋体"/>
          <w:kern w:val="2"/>
          <w:szCs w:val="22"/>
          <w:lang w:bidi="ar"/>
        </w:rPr>
        <w:t>天井采光法是在顶板某处留有洞口，其可结合景观一起形成优美的视觉空间，可在其中种植较高植物（如竹子），通过植物本身的光合作用，蒸发吸热而带走部分热量，通过竖向的井而形成“风拔”效应加速空气的流动，改善建筑局部使用空间的小气候形成“拔风空间”，但是这种做法应特别注意排雨水及顶板防水的处理。</w:t>
      </w:r>
    </w:p>
    <w:p w14:paraId="7A6379B8">
      <w:pPr>
        <w:pStyle w:val="108"/>
        <w:numPr>
          <w:ilvl w:val="1"/>
          <w:numId w:val="0"/>
        </w:numPr>
        <w:spacing w:before="0" w:beforeLines="0" w:after="0" w:afterLines="0"/>
        <w:outlineLvl w:val="9"/>
        <w:rPr>
          <w:rFonts w:ascii="宋体" w:hAnsi="宋体" w:eastAsia="宋体" w:cs="宋体"/>
          <w:kern w:val="2"/>
          <w:szCs w:val="22"/>
          <w:lang w:bidi="ar"/>
        </w:rPr>
      </w:pPr>
      <w:r>
        <w:rPr>
          <w:rFonts w:ascii="宋体" w:hAnsi="宋体" w:eastAsia="宋体" w:cs="宋体"/>
          <w:kern w:val="2"/>
          <w:szCs w:val="22"/>
          <w:lang w:bidi="ar"/>
        </w:rPr>
        <w:t xml:space="preserve">7.4.1.4 </w:t>
      </w:r>
      <w:r>
        <w:rPr>
          <w:rFonts w:hint="eastAsia" w:ascii="宋体" w:hAnsi="宋体" w:eastAsia="宋体" w:cs="宋体"/>
          <w:kern w:val="2"/>
          <w:szCs w:val="22"/>
          <w:lang w:bidi="ar"/>
        </w:rPr>
        <w:t>天窗采光又称顶部采光，通过在地下室顶板某处开窗将自然光引入室内的处理方法，此做法工业建筑、公共建筑应用较多。</w:t>
      </w:r>
    </w:p>
    <w:p w14:paraId="4778BE43">
      <w:r>
        <w:rPr>
          <w:rFonts w:ascii="宋体" w:hAnsi="宋体" w:cs="宋体"/>
          <w:szCs w:val="22"/>
          <w:lang w:bidi="ar"/>
        </w:rPr>
        <w:t xml:space="preserve">7.4.2  </w:t>
      </w:r>
      <w:r>
        <w:rPr>
          <w:rFonts w:hint="eastAsia" w:ascii="宋体" w:hAnsi="宋体" w:cs="宋体"/>
          <w:szCs w:val="22"/>
          <w:lang w:bidi="ar"/>
        </w:rPr>
        <w:t>光导照明系统原理是通过采光罩高效采集室外自然光线并导入系统内重新分配，再通过特殊制作的光导管高效传输，由系统底部的漫射装置把自然光均匀照射到任何需要光线的地方。</w:t>
      </w:r>
    </w:p>
    <w:p w14:paraId="40279B80">
      <w:pPr>
        <w:pStyle w:val="2"/>
        <w:rPr>
          <w:rFonts w:ascii="宋体" w:hAnsi="宋体" w:cs="宋体"/>
          <w:sz w:val="22"/>
          <w:szCs w:val="22"/>
        </w:rPr>
      </w:pPr>
      <w:r>
        <w:rPr>
          <w:rFonts w:ascii="宋体" w:hAnsi="宋体" w:cs="宋体"/>
          <w:sz w:val="22"/>
          <w:szCs w:val="22"/>
        </w:rPr>
        <w:t>7.4.4  考虑中小学接送拥堵问题，</w:t>
      </w:r>
      <w:r>
        <w:rPr>
          <w:rFonts w:hint="eastAsia" w:ascii="宋体" w:hAnsi="宋体" w:cs="宋体"/>
          <w:sz w:val="22"/>
          <w:szCs w:val="22"/>
        </w:rPr>
        <w:t>应</w:t>
      </w:r>
      <w:r>
        <w:rPr>
          <w:rFonts w:ascii="宋体" w:hAnsi="宋体" w:cs="宋体"/>
          <w:sz w:val="22"/>
          <w:szCs w:val="22"/>
        </w:rPr>
        <w:t>结合学校地下停车场设计不小于300㎡空间给学生做为集散区域，通过错时接送、指定地点接送等来解决上下学拥堵问题。</w:t>
      </w:r>
    </w:p>
    <w:p w14:paraId="5D93BA16">
      <w:pPr>
        <w:pStyle w:val="108"/>
        <w:spacing w:before="312" w:after="312"/>
        <w:outlineLvl w:val="9"/>
      </w:pPr>
      <w:r>
        <w:rPr>
          <w:rFonts w:hint="eastAsia"/>
        </w:rPr>
        <w:t>路内停车位</w:t>
      </w:r>
    </w:p>
    <w:p w14:paraId="5C334E79">
      <w:pPr>
        <w:pStyle w:val="108"/>
        <w:numPr>
          <w:ilvl w:val="2"/>
          <w:numId w:val="36"/>
        </w:numPr>
        <w:spacing w:before="312" w:after="312"/>
        <w:outlineLvl w:val="9"/>
      </w:pPr>
      <w:r>
        <w:rPr>
          <w:rFonts w:hint="eastAsia" w:hAnsi="黑体" w:cs="黑体"/>
          <w:szCs w:val="21"/>
          <w:lang w:bidi="ar"/>
        </w:rPr>
        <w:t>一般规定</w:t>
      </w:r>
    </w:p>
    <w:p w14:paraId="5F744B72">
      <w:pPr>
        <w:pStyle w:val="26"/>
        <w:autoSpaceDE w:val="0"/>
        <w:autoSpaceDN w:val="0"/>
        <w:spacing w:beforeAutospacing="0" w:afterAutospacing="0"/>
        <w:jc w:val="both"/>
        <w:rPr>
          <w:sz w:val="21"/>
          <w:szCs w:val="21"/>
        </w:rPr>
      </w:pPr>
      <w:r>
        <w:rPr>
          <w:rFonts w:hint="eastAsia" w:ascii="黑体" w:hAnsi="黑体" w:eastAsia="黑体" w:cs="黑体"/>
          <w:sz w:val="21"/>
          <w:szCs w:val="21"/>
          <w:lang w:bidi="ar"/>
        </w:rPr>
        <w:t>8.1.1</w:t>
      </w:r>
      <w:r>
        <w:rPr>
          <w:rFonts w:hint="eastAsia"/>
          <w:b/>
          <w:bCs/>
          <w:sz w:val="21"/>
          <w:szCs w:val="21"/>
          <w:lang w:bidi="ar"/>
        </w:rPr>
        <w:t xml:space="preserve">  </w:t>
      </w:r>
      <w:r>
        <w:rPr>
          <w:rFonts w:hint="eastAsia"/>
          <w:sz w:val="21"/>
          <w:szCs w:val="21"/>
          <w:lang w:bidi="ar"/>
        </w:rPr>
        <w:t>本条文参考现行国家标准《城市停车规划规范》GB/T 51149，针对城市机动车停车供需矛盾突出的限时情况，当建筑物配建停车位和城市公共停车场提供的停车位不能满足城市停车需求的情形下，可通过临时设置路内停车位作为城市机动车停车位供给的补充，临时设置路内停车位的规模不应大于城市机动车停车位供给总量的5%。</w:t>
      </w:r>
    </w:p>
    <w:p w14:paraId="0414F191">
      <w:pPr>
        <w:pStyle w:val="26"/>
        <w:autoSpaceDE w:val="0"/>
        <w:autoSpaceDN w:val="0"/>
        <w:spacing w:beforeAutospacing="0" w:afterAutospacing="0"/>
        <w:jc w:val="both"/>
        <w:rPr>
          <w:sz w:val="21"/>
          <w:szCs w:val="21"/>
        </w:rPr>
      </w:pPr>
      <w:r>
        <w:rPr>
          <w:rFonts w:hint="eastAsia" w:ascii="黑体" w:hAnsi="黑体" w:eastAsia="黑体" w:cs="黑体"/>
          <w:sz w:val="21"/>
          <w:szCs w:val="21"/>
          <w:lang w:bidi="ar"/>
        </w:rPr>
        <w:t>8.1.4</w:t>
      </w:r>
      <w:r>
        <w:rPr>
          <w:rFonts w:hint="eastAsia"/>
          <w:b/>
          <w:bCs/>
          <w:sz w:val="21"/>
          <w:szCs w:val="21"/>
          <w:lang w:bidi="ar"/>
        </w:rPr>
        <w:t xml:space="preserve">  </w:t>
      </w:r>
      <w:r>
        <w:rPr>
          <w:rFonts w:hint="eastAsia"/>
          <w:sz w:val="21"/>
          <w:szCs w:val="21"/>
          <w:lang w:bidi="ar"/>
        </w:rPr>
        <w:t>为充分发挥路内停车位在出行车位和基本车位供给环节的双重补充作用，路内停车位规划管理应坚持采取白天短时停车和夜间长时停车相结合的策略，合理利用道路空间资源，提高停车位周转率和使用率。</w:t>
      </w:r>
    </w:p>
    <w:p w14:paraId="38A26427">
      <w:pPr>
        <w:pStyle w:val="26"/>
        <w:autoSpaceDE w:val="0"/>
        <w:autoSpaceDN w:val="0"/>
        <w:spacing w:beforeAutospacing="0" w:afterAutospacing="0"/>
        <w:jc w:val="both"/>
        <w:rPr>
          <w:sz w:val="21"/>
          <w:szCs w:val="21"/>
        </w:rPr>
      </w:pPr>
      <w:r>
        <w:rPr>
          <w:rFonts w:hint="eastAsia" w:ascii="黑体" w:hAnsi="黑体" w:eastAsia="黑体" w:cs="黑体"/>
          <w:sz w:val="21"/>
          <w:szCs w:val="21"/>
          <w:lang w:bidi="ar"/>
        </w:rPr>
        <w:t xml:space="preserve">8.1.5 </w:t>
      </w:r>
      <w:r>
        <w:rPr>
          <w:rFonts w:hint="eastAsia"/>
          <w:b/>
          <w:bCs/>
          <w:sz w:val="21"/>
          <w:szCs w:val="21"/>
          <w:lang w:bidi="ar"/>
        </w:rPr>
        <w:t xml:space="preserve"> </w:t>
      </w:r>
      <w:r>
        <w:rPr>
          <w:rFonts w:hint="eastAsia"/>
          <w:sz w:val="21"/>
          <w:szCs w:val="21"/>
          <w:lang w:bidi="ar"/>
        </w:rPr>
        <w:t>路内停车位的设置应进行可行性评价和使用效果评价，制定相应的效益评估和退出机制，在不同时间和空间内动态调节临时路内停车位设置，充分发挥城市机动车停车位供给的补充作用。</w:t>
      </w:r>
    </w:p>
    <w:p w14:paraId="25444AA4">
      <w:pPr>
        <w:pStyle w:val="26"/>
        <w:autoSpaceDE w:val="0"/>
        <w:autoSpaceDN w:val="0"/>
        <w:spacing w:beforeAutospacing="0" w:afterAutospacing="0"/>
        <w:jc w:val="both"/>
        <w:rPr>
          <w:sz w:val="21"/>
          <w:szCs w:val="21"/>
          <w:lang w:bidi="ar"/>
        </w:rPr>
      </w:pPr>
      <w:r>
        <w:rPr>
          <w:rFonts w:hint="eastAsia" w:ascii="黑体" w:hAnsi="黑体" w:eastAsia="黑体" w:cs="黑体"/>
          <w:sz w:val="21"/>
          <w:szCs w:val="21"/>
          <w:lang w:bidi="ar"/>
        </w:rPr>
        <w:t>8.1.6</w:t>
      </w:r>
      <w:r>
        <w:rPr>
          <w:rFonts w:hint="eastAsia"/>
          <w:b/>
          <w:bCs/>
          <w:sz w:val="21"/>
          <w:szCs w:val="21"/>
          <w:lang w:bidi="ar"/>
        </w:rPr>
        <w:t xml:space="preserve">  </w:t>
      </w:r>
      <w:r>
        <w:rPr>
          <w:rFonts w:hint="eastAsia"/>
          <w:sz w:val="21"/>
          <w:szCs w:val="21"/>
          <w:lang w:bidi="ar"/>
        </w:rPr>
        <w:t>停车位应设置停车位编码，编码规则和喷涂方式参考现行《城市道路路内停车管理设施应用指南》GA/T 1271。</w:t>
      </w:r>
    </w:p>
    <w:p w14:paraId="312C17D2">
      <w:pPr>
        <w:pStyle w:val="108"/>
        <w:numPr>
          <w:ilvl w:val="2"/>
          <w:numId w:val="36"/>
        </w:numPr>
        <w:spacing w:before="312" w:after="312"/>
        <w:outlineLvl w:val="9"/>
        <w:rPr>
          <w:rFonts w:ascii="宋体" w:hAnsi="宋体" w:eastAsia="宋体"/>
          <w:szCs w:val="21"/>
          <w:lang w:bidi="ar"/>
        </w:rPr>
      </w:pPr>
      <w:r>
        <w:rPr>
          <w:rFonts w:hint="eastAsia" w:hAnsi="黑体" w:cs="黑体"/>
          <w:szCs w:val="21"/>
          <w:lang w:bidi="ar"/>
        </w:rPr>
        <w:t>设置条件</w:t>
      </w:r>
    </w:p>
    <w:p w14:paraId="3346A7B2">
      <w:pPr>
        <w:pStyle w:val="26"/>
        <w:autoSpaceDE w:val="0"/>
        <w:autoSpaceDN w:val="0"/>
        <w:spacing w:beforeAutospacing="0" w:after="156" w:afterLines="50" w:afterAutospacing="0"/>
        <w:jc w:val="both"/>
        <w:rPr>
          <w:sz w:val="21"/>
          <w:szCs w:val="20"/>
          <w:lang w:bidi="ar"/>
        </w:rPr>
      </w:pPr>
      <w:r>
        <w:rPr>
          <w:rFonts w:hint="eastAsia" w:ascii="黑体" w:hAnsi="黑体" w:eastAsia="黑体" w:cs="黑体"/>
          <w:sz w:val="21"/>
          <w:szCs w:val="20"/>
          <w:lang w:bidi="ar"/>
        </w:rPr>
        <w:t xml:space="preserve">8.2.2-8.2.8  </w:t>
      </w:r>
      <w:r>
        <w:rPr>
          <w:rFonts w:hint="eastAsia"/>
          <w:sz w:val="21"/>
          <w:szCs w:val="20"/>
          <w:lang w:bidi="ar"/>
        </w:rPr>
        <w:t>本条文参考现行行业标准《城市道路路内停车位设置规范》GA/T 850关于路内停车泊位设置条件的相关规定。同时，路内停车位的标志、标线及管理设施的设置还应符合《道路交通标志和标线 第2部分：道路交通标志》GB 5768.2、《道路交通标志和标线 第3部分：道路交通标线》GB 5768.3、《城市道路交通标准和标线设置规范》GB 51038、《城市道路路内停车管理设施应用指南》GA/T 1271的相关规定。</w:t>
      </w:r>
    </w:p>
    <w:p w14:paraId="720B37EE">
      <w:pPr>
        <w:pStyle w:val="108"/>
        <w:numPr>
          <w:ilvl w:val="2"/>
          <w:numId w:val="36"/>
        </w:numPr>
        <w:spacing w:before="312" w:after="312"/>
        <w:outlineLvl w:val="9"/>
        <w:rPr>
          <w:rFonts w:ascii="宋体" w:hAnsi="宋体" w:eastAsia="宋体"/>
          <w:lang w:bidi="ar"/>
        </w:rPr>
      </w:pPr>
      <w:r>
        <w:rPr>
          <w:rFonts w:hint="eastAsia" w:hAnsi="黑体" w:cs="黑体"/>
          <w:szCs w:val="21"/>
          <w:lang w:bidi="ar"/>
        </w:rPr>
        <w:t>停车位设计</w:t>
      </w:r>
    </w:p>
    <w:p w14:paraId="628B3DB0">
      <w:pPr>
        <w:pStyle w:val="26"/>
        <w:autoSpaceDE w:val="0"/>
        <w:autoSpaceDN w:val="0"/>
        <w:spacing w:beforeAutospacing="0" w:after="156" w:afterLines="50" w:afterAutospacing="0"/>
        <w:jc w:val="both"/>
        <w:rPr>
          <w:sz w:val="21"/>
          <w:szCs w:val="20"/>
          <w:lang w:bidi="ar"/>
        </w:rPr>
      </w:pPr>
      <w:r>
        <w:rPr>
          <w:rFonts w:hint="eastAsia" w:ascii="黑体" w:hAnsi="黑体" w:eastAsia="黑体" w:cs="黑体"/>
          <w:sz w:val="21"/>
          <w:szCs w:val="20"/>
          <w:lang w:bidi="ar"/>
        </w:rPr>
        <w:t xml:space="preserve">8.3.1-8.3.5  </w:t>
      </w:r>
      <w:r>
        <w:rPr>
          <w:rFonts w:hint="eastAsia"/>
          <w:sz w:val="21"/>
          <w:szCs w:val="20"/>
          <w:lang w:bidi="ar"/>
        </w:rPr>
        <w:t>本条文参考现行行业标准《城市道路路内停车位设置规范》GA/T 850关于路内停车泊位设置条件的相关规定。</w:t>
      </w:r>
    </w:p>
    <w:p w14:paraId="214E8AAF">
      <w:pPr>
        <w:pStyle w:val="108"/>
        <w:spacing w:before="312" w:after="312"/>
        <w:outlineLvl w:val="9"/>
        <w:rPr>
          <w:rFonts w:ascii="宋体" w:hAnsi="宋体" w:eastAsia="宋体"/>
          <w:lang w:bidi="ar"/>
        </w:rPr>
      </w:pPr>
      <w:r>
        <w:rPr>
          <w:rFonts w:hint="eastAsia"/>
        </w:rPr>
        <w:t>无障碍停车位</w:t>
      </w:r>
    </w:p>
    <w:p w14:paraId="50DD899E">
      <w:pPr>
        <w:spacing w:line="240" w:lineRule="auto"/>
        <w:rPr>
          <w:rFonts w:ascii="宋体" w:hAnsi="宋体" w:cs="宋体"/>
          <w:b/>
          <w:bCs/>
          <w:kern w:val="0"/>
          <w:szCs w:val="20"/>
        </w:rPr>
      </w:pPr>
      <w:r>
        <w:rPr>
          <w:rFonts w:hint="eastAsia" w:ascii="黑体" w:hAnsi="黑体" w:eastAsia="黑体" w:cs="黑体"/>
          <w:color w:val="000000"/>
          <w:kern w:val="0"/>
          <w:shd w:val="clear" w:color="auto" w:fill="FFFFFF"/>
        </w:rPr>
        <w:t xml:space="preserve">9.1  </w:t>
      </w:r>
      <w:r>
        <w:rPr>
          <w:rFonts w:hint="eastAsia" w:ascii="宋体" w:hAnsi="宋体" w:cs="宋体"/>
          <w:color w:val="000000"/>
          <w:kern w:val="0"/>
          <w:shd w:val="clear" w:color="auto" w:fill="FFFFFF"/>
        </w:rPr>
        <w:t>无障碍停车为包括机动车位和非机动车位。地面停车场中，应将距离建筑主要出入口（无障碍出入口）路线短、且临近无障碍通道、通行方便的停车位设为无障碍停车位</w:t>
      </w:r>
      <w:r>
        <w:rPr>
          <w:rFonts w:hint="eastAsia" w:ascii="宋体" w:hAnsi="宋体" w:cs="宋体"/>
        </w:rPr>
        <w:t>。地下停车库中，应将距离无障碍电梯距离短且通行方便的车位设为无障碍停车位。</w:t>
      </w:r>
    </w:p>
    <w:p w14:paraId="38C72B9A">
      <w:pPr>
        <w:spacing w:line="240" w:lineRule="auto"/>
        <w:rPr>
          <w:rFonts w:ascii="宋体" w:hAnsi="宋体" w:cs="宋体"/>
        </w:rPr>
      </w:pPr>
      <w:r>
        <w:rPr>
          <w:rFonts w:hint="eastAsia" w:ascii="黑体" w:hAnsi="黑体" w:eastAsia="黑体" w:cs="黑体"/>
        </w:rPr>
        <w:t>9.3</w:t>
      </w:r>
      <w:r>
        <w:rPr>
          <w:rFonts w:hint="eastAsia" w:ascii="宋体" w:hAnsi="宋体" w:cs="宋体"/>
        </w:rPr>
        <w:t xml:space="preserve">  机动车停车位的尺寸根据现行《车库建筑设计规范》JGJ100中的相关数据确定。机动车停车位一侧设置一定宽度的轮椅通道，可方便乘轮椅者由车辆转乘至轮椅，从轮椅通道直接进入无障碍通道或直达无障碍出入口。轮椅通道可贴邻停车位的任意一侧长边。</w:t>
      </w:r>
    </w:p>
    <w:p w14:paraId="3CA32748">
      <w:pPr>
        <w:spacing w:line="240" w:lineRule="auto"/>
        <w:rPr>
          <w:rFonts w:ascii="宋体" w:hAnsi="宋体" w:cs="宋体"/>
        </w:rPr>
      </w:pPr>
      <w:r>
        <w:rPr>
          <w:rFonts w:hint="eastAsia" w:ascii="黑体" w:hAnsi="黑体" w:eastAsia="黑体" w:cs="黑体"/>
        </w:rPr>
        <w:t>9.4</w:t>
      </w:r>
      <w:r>
        <w:rPr>
          <w:rFonts w:hint="eastAsia" w:ascii="宋体" w:hAnsi="宋体" w:cs="宋体"/>
        </w:rPr>
        <w:t xml:space="preserve"> 非机动车类型较多，除了常见的自行车外，还包括三轮车、代步车等。因此，非机动车停车位场地的设计应注意满足不同尺寸、不同类型非机动车的停放要求。</w:t>
      </w:r>
    </w:p>
    <w:p w14:paraId="4A46CA09">
      <w:pPr>
        <w:spacing w:line="240" w:lineRule="auto"/>
        <w:rPr>
          <w:rFonts w:ascii="宋体" w:hAnsi="宋体" w:cs="宋体"/>
        </w:rPr>
      </w:pPr>
      <w:r>
        <w:rPr>
          <w:rFonts w:hint="eastAsia" w:ascii="黑体" w:hAnsi="黑体" w:eastAsia="黑体" w:cs="黑体"/>
        </w:rPr>
        <w:t>9.5</w:t>
      </w:r>
      <w:r>
        <w:rPr>
          <w:rFonts w:hint="eastAsia" w:ascii="宋体" w:hAnsi="宋体" w:cs="宋体"/>
        </w:rPr>
        <w:t xml:space="preserve">  无障碍停车位标志一般设在无障碍车位的地面停车线范围内，标志图尺寸可为长、宽各900mm以上，停车线的颜色亮度应方便识别。</w:t>
      </w:r>
    </w:p>
    <w:p w14:paraId="06E6CAAD">
      <w:pPr>
        <w:spacing w:line="240" w:lineRule="auto"/>
        <w:ind w:firstLine="420"/>
        <w:rPr>
          <w:rFonts w:ascii="宋体" w:hAnsi="宋体" w:cs="宋体"/>
        </w:rPr>
      </w:pPr>
      <w:r>
        <w:rPr>
          <w:rFonts w:hint="eastAsia" w:ascii="宋体" w:hAnsi="宋体" w:cs="宋体"/>
        </w:rPr>
        <w:t>引导标志可如下设置：地面停车场中，于无障碍停车位旁，设置具有荧光效果的无障碍停车位标志，标志尺寸不小于400mmx400mm，下沿距地不小于2.00m。在地下停车库中，于无障碍停车位上方、邻近的墙面或柱面设置具有荧光效果、无法掩蔽、易于识别的悬挂或张贴标志，标志尺寸不小于300mmx300mm，下沿距地不小于2.00m。</w:t>
      </w:r>
    </w:p>
    <w:p w14:paraId="6AE8E877">
      <w:pPr>
        <w:pStyle w:val="108"/>
        <w:spacing w:before="312" w:after="312"/>
        <w:outlineLvl w:val="9"/>
      </w:pPr>
      <w:r>
        <w:rPr>
          <w:rFonts w:hint="eastAsia"/>
        </w:rPr>
        <w:t>电动汽车分散充电设施</w:t>
      </w:r>
    </w:p>
    <w:p w14:paraId="791186ED">
      <w:pPr>
        <w:pStyle w:val="108"/>
        <w:numPr>
          <w:ilvl w:val="2"/>
          <w:numId w:val="36"/>
        </w:numPr>
        <w:spacing w:before="312" w:after="312"/>
        <w:outlineLvl w:val="9"/>
      </w:pPr>
      <w:r>
        <w:rPr>
          <w:rFonts w:hint="eastAsia" w:hAnsi="黑体" w:cs="黑体"/>
          <w:szCs w:val="21"/>
          <w:lang w:bidi="ar"/>
        </w:rPr>
        <w:t>一般规定</w:t>
      </w:r>
    </w:p>
    <w:p w14:paraId="51A1921D">
      <w:pPr>
        <w:spacing w:line="240" w:lineRule="auto"/>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 xml:space="preserve">.1.1  </w:t>
      </w:r>
      <w:r>
        <w:rPr>
          <w:rFonts w:ascii="宋体" w:hAnsi="宋体" w:cs="宋体"/>
          <w:kern w:val="0"/>
          <w:szCs w:val="20"/>
        </w:rPr>
        <w:t>为贯彻落实国家发展改革委、国家能源局、工业与信息化部、住房城乡建设部《电动汽车充电几处设施和发展指南（2015~2020）》的要求，满足电动汽车发展的需求，电动汽车充电基础设施建设应纳入工程建设预算范围、随工程设计与施工完成直接建设或做好预留。</w:t>
      </w:r>
    </w:p>
    <w:p w14:paraId="40A263C8">
      <w:pPr>
        <w:spacing w:line="240" w:lineRule="auto"/>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.1.2</w:t>
      </w:r>
      <w:r>
        <w:rPr>
          <w:rFonts w:hint="eastAsia" w:ascii="宋体" w:hAnsi="宋体" w:cs="宋体"/>
          <w:b/>
          <w:bCs/>
          <w:color w:val="000000"/>
          <w:kern w:val="0"/>
          <w:shd w:val="clear" w:color="auto" w:fill="FFFFFF"/>
        </w:rPr>
        <w:t xml:space="preserve"> </w:t>
      </w:r>
      <w:r>
        <w:rPr>
          <w:rFonts w:ascii="宋体" w:hAnsi="宋体" w:cs="宋体"/>
          <w:b/>
          <w:bCs/>
          <w:color w:val="000000"/>
          <w:kern w:val="0"/>
          <w:shd w:val="clear" w:color="auto" w:fill="FFFFFF"/>
        </w:rPr>
        <w:t xml:space="preserve"> </w:t>
      </w:r>
      <w:r>
        <w:rPr>
          <w:rFonts w:ascii="宋体" w:hAnsi="宋体" w:cs="宋体"/>
          <w:kern w:val="0"/>
          <w:szCs w:val="20"/>
        </w:rPr>
        <w:t>电动汽车充电</w:t>
      </w:r>
      <w:r>
        <w:rPr>
          <w:rFonts w:hint="eastAsia" w:ascii="宋体" w:hAnsi="宋体" w:cs="宋体"/>
          <w:kern w:val="0"/>
          <w:szCs w:val="20"/>
        </w:rPr>
        <w:t>停车位</w:t>
      </w:r>
      <w:r>
        <w:rPr>
          <w:rFonts w:ascii="宋体" w:hAnsi="宋体" w:cs="宋体"/>
          <w:kern w:val="0"/>
          <w:szCs w:val="20"/>
        </w:rPr>
        <w:t>的配置应符合《福建省电动汽车充电基础设施建设技术规程》DBJ13-278第4.2.3条规定。规定数量的充电</w:t>
      </w:r>
      <w:r>
        <w:rPr>
          <w:rFonts w:hint="eastAsia" w:ascii="宋体" w:hAnsi="宋体" w:cs="宋体"/>
          <w:kern w:val="0"/>
          <w:szCs w:val="20"/>
        </w:rPr>
        <w:t>停车位</w:t>
      </w:r>
      <w:r>
        <w:rPr>
          <w:rFonts w:ascii="宋体" w:hAnsi="宋体" w:cs="宋体"/>
          <w:kern w:val="0"/>
          <w:szCs w:val="20"/>
        </w:rPr>
        <w:t>应在建设初期配足变压器容量，其余充电</w:t>
      </w:r>
      <w:r>
        <w:rPr>
          <w:rFonts w:hint="eastAsia" w:ascii="宋体" w:hAnsi="宋体" w:cs="宋体"/>
          <w:kern w:val="0"/>
          <w:szCs w:val="20"/>
        </w:rPr>
        <w:t>停车位</w:t>
      </w:r>
      <w:r>
        <w:rPr>
          <w:rFonts w:ascii="宋体" w:hAnsi="宋体" w:cs="宋体"/>
          <w:kern w:val="0"/>
          <w:szCs w:val="20"/>
        </w:rPr>
        <w:t>可考虑在变、配电间预留位置，以便扩容之需；或变压器按加大1~2级容量的尺寸布置等。</w:t>
      </w:r>
    </w:p>
    <w:p w14:paraId="29C5A2DC">
      <w:pPr>
        <w:spacing w:line="240" w:lineRule="auto"/>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.1.3</w:t>
      </w:r>
      <w:r>
        <w:rPr>
          <w:rFonts w:hint="eastAsia" w:ascii="宋体" w:hAnsi="宋体" w:cs="宋体"/>
          <w:b/>
          <w:bCs/>
          <w:color w:val="000000"/>
          <w:kern w:val="0"/>
          <w:shd w:val="clear" w:color="auto" w:fill="FFFFFF"/>
        </w:rPr>
        <w:t xml:space="preserve">  </w:t>
      </w:r>
      <w:r>
        <w:rPr>
          <w:rFonts w:ascii="宋体" w:hAnsi="宋体" w:cs="宋体"/>
          <w:kern w:val="0"/>
          <w:szCs w:val="20"/>
        </w:rPr>
        <w:t>根据</w:t>
      </w:r>
      <w:r>
        <w:rPr>
          <w:rFonts w:hint="eastAsia" w:ascii="宋体" w:hAnsi="宋体" w:cs="宋体"/>
          <w:kern w:val="0"/>
          <w:szCs w:val="20"/>
        </w:rPr>
        <w:t>停车位</w:t>
      </w:r>
      <w:r>
        <w:rPr>
          <w:rFonts w:ascii="宋体" w:hAnsi="宋体" w:cs="宋体"/>
          <w:kern w:val="0"/>
          <w:szCs w:val="20"/>
        </w:rPr>
        <w:t>选择合适的充电方式：车辆可长时间停靠，充电设备应采用交流充电方式；车辆不能长时间停靠，充电设备以直流充电方式为主。</w:t>
      </w:r>
    </w:p>
    <w:p w14:paraId="38F0ABB3">
      <w:pPr>
        <w:spacing w:line="240" w:lineRule="auto"/>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 xml:space="preserve">.1.5 </w:t>
      </w:r>
      <w:r>
        <w:rPr>
          <w:rFonts w:hint="eastAsia" w:ascii="宋体" w:hAnsi="宋体" w:cs="宋体"/>
          <w:b/>
          <w:bCs/>
          <w:color w:val="000000"/>
          <w:kern w:val="0"/>
          <w:shd w:val="clear" w:color="auto" w:fill="FFFFFF"/>
        </w:rPr>
        <w:t xml:space="preserve"> </w:t>
      </w:r>
      <w:r>
        <w:rPr>
          <w:rFonts w:ascii="宋体" w:hAnsi="宋体" w:cs="宋体"/>
          <w:kern w:val="0"/>
          <w:szCs w:val="20"/>
        </w:rPr>
        <w:t>参考</w:t>
      </w:r>
      <w:r>
        <w:rPr>
          <w:rFonts w:ascii="宋体" w:hAnsi="宋体" w:cs="宋体"/>
          <w:color w:val="000000"/>
          <w:kern w:val="0"/>
          <w:shd w:val="clear" w:color="auto" w:fill="FFFFFF"/>
        </w:rPr>
        <w:t>《福建省电动汽车充电基础设施建设技术规程》、</w:t>
      </w:r>
      <w:r>
        <w:rPr>
          <w:rFonts w:ascii="宋体" w:hAnsi="宋体" w:cs="宋体"/>
          <w:kern w:val="0"/>
          <w:szCs w:val="20"/>
        </w:rPr>
        <w:t>《海南省电动汽车充电基础设施建设技术规程》DBJ/T 15-150 执行。</w:t>
      </w:r>
    </w:p>
    <w:p w14:paraId="143DA4E0">
      <w:pPr>
        <w:pStyle w:val="108"/>
        <w:numPr>
          <w:ilvl w:val="2"/>
          <w:numId w:val="36"/>
        </w:numPr>
        <w:spacing w:before="312" w:after="312"/>
        <w:outlineLvl w:val="9"/>
      </w:pPr>
      <w:r>
        <w:rPr>
          <w:rFonts w:hint="eastAsia" w:hAnsi="黑体" w:cs="黑体"/>
          <w:szCs w:val="21"/>
          <w:lang w:bidi="ar"/>
        </w:rPr>
        <w:t>设计要求</w:t>
      </w:r>
    </w:p>
    <w:p w14:paraId="5196F1C6">
      <w:pPr>
        <w:spacing w:line="240" w:lineRule="auto"/>
        <w:jc w:val="left"/>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.2.1、</w:t>
      </w: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.2.2</w:t>
      </w:r>
      <w:r>
        <w:rPr>
          <w:rFonts w:ascii="宋体" w:hAnsi="宋体" w:cs="宋体"/>
          <w:kern w:val="0"/>
          <w:szCs w:val="20"/>
        </w:rPr>
        <w:t xml:space="preserve"> </w:t>
      </w:r>
      <w:r>
        <w:rPr>
          <w:rFonts w:hint="eastAsia" w:ascii="宋体" w:hAnsi="宋体" w:cs="宋体"/>
          <w:kern w:val="0"/>
          <w:szCs w:val="20"/>
        </w:rPr>
        <w:t xml:space="preserve"> </w:t>
      </w:r>
      <w:r>
        <w:rPr>
          <w:rFonts w:ascii="宋体" w:hAnsi="宋体" w:cs="宋体"/>
          <w:kern w:val="0"/>
          <w:szCs w:val="20"/>
        </w:rPr>
        <w:t>参考《广东省电动汽车充电基础设施建设技术规程》DBJ/T 15-150 中执行。</w:t>
      </w:r>
    </w:p>
    <w:p w14:paraId="4A7743FA">
      <w:pPr>
        <w:spacing w:line="240" w:lineRule="auto"/>
        <w:jc w:val="left"/>
        <w:rPr>
          <w:rFonts w:ascii="宋体" w:hAnsi="宋体" w:cs="宋体"/>
          <w:b/>
          <w:bCs/>
          <w:color w:val="000000"/>
          <w:kern w:val="0"/>
          <w:shd w:val="clear" w:color="auto" w:fill="FFFFFF"/>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 xml:space="preserve">.2.3  </w:t>
      </w:r>
      <w:r>
        <w:rPr>
          <w:rFonts w:ascii="宋体" w:hAnsi="宋体" w:cs="宋体"/>
          <w:kern w:val="0"/>
          <w:szCs w:val="20"/>
        </w:rPr>
        <w:t>落地式安装充电设备的安装主要考虑设备遇水时的使用安全，且保证充电设备的安装及使用不影响车位的使用。</w:t>
      </w:r>
    </w:p>
    <w:p w14:paraId="3DA8D3E6">
      <w:pPr>
        <w:spacing w:line="240" w:lineRule="auto"/>
        <w:jc w:val="left"/>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.2.4、</w:t>
      </w: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.2.5</w:t>
      </w:r>
      <w:r>
        <w:rPr>
          <w:rFonts w:hint="eastAsia" w:ascii="宋体" w:hAnsi="宋体" w:cs="宋体"/>
          <w:b/>
          <w:bCs/>
          <w:color w:val="000000"/>
          <w:kern w:val="0"/>
          <w:shd w:val="clear" w:color="auto" w:fill="FFFFFF"/>
        </w:rPr>
        <w:t xml:space="preserve">  </w:t>
      </w:r>
      <w:r>
        <w:rPr>
          <w:rFonts w:ascii="宋体" w:hAnsi="宋体" w:cs="宋体"/>
          <w:kern w:val="0"/>
          <w:szCs w:val="20"/>
        </w:rPr>
        <w:t>壁挂式及悬挂式安装充电设备的安装高度主要考虑设备安全要求及人员操作要求。</w:t>
      </w:r>
    </w:p>
    <w:p w14:paraId="0377D90A">
      <w:pPr>
        <w:spacing w:line="240" w:lineRule="auto"/>
        <w:jc w:val="left"/>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 xml:space="preserve">.2.6  </w:t>
      </w:r>
      <w:r>
        <w:rPr>
          <w:rFonts w:ascii="宋体" w:hAnsi="宋体" w:cs="宋体"/>
          <w:kern w:val="0"/>
          <w:szCs w:val="20"/>
        </w:rPr>
        <w:t>充电设备的选择安装应结合现场情况，满足操作和检修的要求。充电设备一般布置于充电车位一端或旁边，为保证充电时操作人员的工作空间，充电设备与充电车位边界线应保持足够的距离，本条对该尺寸进行限制。同时，充电设备的选择应结合安装场地，至少保证一个方向上留有足够的检修距离。</w:t>
      </w:r>
    </w:p>
    <w:p w14:paraId="66B9E58B">
      <w:pPr>
        <w:spacing w:line="240" w:lineRule="auto"/>
        <w:jc w:val="left"/>
        <w:rPr>
          <w:rFonts w:ascii="宋体" w:hAnsi="宋体" w:cs="宋体"/>
          <w:kern w:val="0"/>
          <w:szCs w:val="20"/>
        </w:rPr>
      </w:pPr>
      <w:r>
        <w:rPr>
          <w:rFonts w:hint="eastAsia" w:ascii="黑体" w:hAnsi="黑体" w:eastAsia="黑体" w:cs="黑体"/>
          <w:color w:val="000000"/>
          <w:kern w:val="0"/>
          <w:shd w:val="clear" w:color="auto" w:fill="FFFFFF"/>
          <w:lang w:val="en-US" w:eastAsia="zh-CN"/>
        </w:rPr>
        <w:t>10</w:t>
      </w:r>
      <w:r>
        <w:rPr>
          <w:rFonts w:hint="eastAsia" w:ascii="黑体" w:hAnsi="黑体" w:eastAsia="黑体" w:cs="黑体"/>
          <w:color w:val="000000"/>
          <w:kern w:val="0"/>
          <w:shd w:val="clear" w:color="auto" w:fill="FFFFFF"/>
        </w:rPr>
        <w:t>.2.7</w:t>
      </w:r>
      <w:r>
        <w:rPr>
          <w:rFonts w:hint="eastAsia" w:ascii="宋体" w:hAnsi="宋体" w:cs="宋体"/>
          <w:b/>
          <w:bCs/>
          <w:color w:val="000000"/>
          <w:kern w:val="0"/>
          <w:shd w:val="clear" w:color="auto" w:fill="FFFFFF"/>
        </w:rPr>
        <w:t xml:space="preserve">  </w:t>
      </w:r>
      <w:r>
        <w:rPr>
          <w:rFonts w:ascii="宋体" w:hAnsi="宋体" w:cs="宋体"/>
          <w:kern w:val="0"/>
          <w:szCs w:val="20"/>
        </w:rPr>
        <w:t>充电车位靠充电设备侧应采取防撞措施，如防撞栏、车挡石等，避免车位在使用过程对充电设备的破坏，保证充电设备及操作人员的安全。</w:t>
      </w:r>
    </w:p>
    <w:p w14:paraId="019809C3">
      <w:pPr>
        <w:pStyle w:val="108"/>
        <w:spacing w:before="312" w:after="312"/>
        <w:outlineLvl w:val="9"/>
      </w:pPr>
      <w:r>
        <w:rPr>
          <w:rFonts w:hint="eastAsia"/>
        </w:rPr>
        <w:t>智能化系统</w:t>
      </w:r>
    </w:p>
    <w:p w14:paraId="26582B9B">
      <w:pPr>
        <w:pStyle w:val="108"/>
        <w:numPr>
          <w:ilvl w:val="2"/>
          <w:numId w:val="36"/>
        </w:numPr>
        <w:spacing w:before="312" w:after="312"/>
        <w:outlineLvl w:val="9"/>
      </w:pPr>
      <w:r>
        <w:rPr>
          <w:rFonts w:hint="eastAsia" w:hAnsi="黑体" w:cs="黑体"/>
          <w:szCs w:val="21"/>
          <w:lang w:bidi="ar"/>
        </w:rPr>
        <w:t>智能设备数据接口要求</w:t>
      </w:r>
    </w:p>
    <w:p w14:paraId="6CC47394">
      <w:pPr>
        <w:pStyle w:val="108"/>
        <w:numPr>
          <w:ilvl w:val="2"/>
          <w:numId w:val="36"/>
        </w:numPr>
        <w:spacing w:before="312" w:after="312"/>
        <w:outlineLvl w:val="9"/>
      </w:pPr>
      <w:r>
        <w:rPr>
          <w:rFonts w:hint="eastAsia" w:hAnsi="黑体" w:cs="黑体"/>
          <w:szCs w:val="21"/>
          <w:lang w:bidi="ar"/>
        </w:rPr>
        <w:t>智能设施要求</w:t>
      </w:r>
    </w:p>
    <w:p w14:paraId="70884F6D">
      <w:pPr>
        <w:spacing w:line="240" w:lineRule="auto"/>
        <w:rPr>
          <w:rFonts w:ascii="宋体" w:hAnsi="宋体" w:cs="宋体"/>
        </w:rPr>
      </w:pPr>
      <w:r>
        <w:rPr>
          <w:rFonts w:hint="eastAsia" w:ascii="黑体" w:hAnsi="黑体" w:eastAsia="黑体" w:cs="黑体"/>
          <w:lang w:bidi="ar"/>
        </w:rPr>
        <w:t>11.2.1</w:t>
      </w:r>
      <w:r>
        <w:rPr>
          <w:rFonts w:hint="eastAsia" w:ascii="宋体" w:hAnsi="宋体" w:cs="宋体"/>
          <w:b/>
          <w:bCs/>
          <w:lang w:bidi="ar"/>
        </w:rPr>
        <w:t xml:space="preserve">  </w:t>
      </w:r>
      <w:r>
        <w:rPr>
          <w:rFonts w:hint="eastAsia" w:ascii="宋体" w:hAnsi="宋体" w:cs="宋体"/>
          <w:lang w:bidi="ar"/>
        </w:rPr>
        <w:t>按要求设置的停车场（库）管理系统，首先应符合《民用建筑电气设计标准》GB 51348中14.6 停车库（场）管理系统的相关规定。</w:t>
      </w:r>
    </w:p>
    <w:p w14:paraId="44759B72">
      <w:pPr>
        <w:spacing w:line="240" w:lineRule="auto"/>
        <w:rPr>
          <w:rFonts w:ascii="宋体" w:hAnsi="宋体" w:cs="宋体"/>
        </w:rPr>
      </w:pPr>
      <w:r>
        <w:rPr>
          <w:rFonts w:hint="eastAsia" w:ascii="黑体" w:hAnsi="黑体" w:eastAsia="黑体" w:cs="黑体"/>
          <w:lang w:bidi="ar"/>
        </w:rPr>
        <w:t xml:space="preserve">11.2.2 </w:t>
      </w:r>
      <w:r>
        <w:rPr>
          <w:rFonts w:hint="eastAsia" w:ascii="宋体" w:hAnsi="宋体" w:cs="宋体"/>
          <w:b/>
          <w:bCs/>
          <w:lang w:bidi="ar"/>
        </w:rPr>
        <w:t xml:space="preserve"> </w:t>
      </w:r>
      <w:r>
        <w:rPr>
          <w:rFonts w:hint="eastAsia" w:ascii="宋体" w:hAnsi="宋体" w:cs="宋体"/>
          <w:lang w:bidi="ar"/>
        </w:rPr>
        <w:t>应根据停车设备类型、建设规模及环境等因素，选择配置各智能化系统，下文有对各主要系统的选择作指导说明。</w:t>
      </w:r>
    </w:p>
    <w:p w14:paraId="13BBBFB2">
      <w:pPr>
        <w:spacing w:line="240" w:lineRule="auto"/>
        <w:rPr>
          <w:rFonts w:ascii="宋体" w:hAnsi="宋体" w:cs="宋体"/>
        </w:rPr>
      </w:pPr>
      <w:r>
        <w:rPr>
          <w:rFonts w:hint="eastAsia" w:ascii="黑体" w:hAnsi="黑体" w:eastAsia="黑体" w:cs="黑体"/>
          <w:lang w:bidi="ar"/>
        </w:rPr>
        <w:t>11.2.3</w:t>
      </w:r>
      <w:r>
        <w:rPr>
          <w:rFonts w:hint="eastAsia" w:ascii="宋体" w:hAnsi="宋体" w:cs="宋体"/>
          <w:b/>
          <w:bCs/>
          <w:lang w:bidi="ar"/>
        </w:rPr>
        <w:t xml:space="preserve">  </w:t>
      </w:r>
      <w:r>
        <w:rPr>
          <w:rFonts w:hint="eastAsia" w:ascii="宋体" w:hAnsi="宋体" w:cs="宋体"/>
          <w:lang w:bidi="ar"/>
        </w:rPr>
        <w:t>特大、大型公共机动车停车场（库）车位数量大于300，内部较复杂，为保障安全及方便停车，应设置远程通信及协助系统、停车引导系统、反向寻车系统。</w:t>
      </w:r>
    </w:p>
    <w:p w14:paraId="62692850">
      <w:pPr>
        <w:spacing w:line="240" w:lineRule="auto"/>
        <w:rPr>
          <w:rFonts w:ascii="宋体" w:hAnsi="宋体" w:cs="宋体"/>
        </w:rPr>
      </w:pPr>
      <w:r>
        <w:rPr>
          <w:rFonts w:hint="eastAsia" w:ascii="黑体" w:hAnsi="黑体" w:eastAsia="黑体" w:cs="黑体"/>
          <w:lang w:bidi="ar"/>
        </w:rPr>
        <w:t>11.2.4</w:t>
      </w:r>
      <w:r>
        <w:rPr>
          <w:rFonts w:hint="eastAsia" w:ascii="宋体" w:hAnsi="宋体" w:cs="宋体"/>
          <w:b/>
          <w:bCs/>
          <w:lang w:bidi="ar"/>
        </w:rPr>
        <w:t xml:space="preserve">  </w:t>
      </w:r>
      <w:r>
        <w:rPr>
          <w:rFonts w:hint="eastAsia" w:ascii="宋体" w:hAnsi="宋体" w:cs="宋体"/>
          <w:lang w:bidi="ar"/>
        </w:rPr>
        <w:t>交通、治安重点区域范围内的公共停车场（库）也属于公安重点管控范围，应设置车辆以及驾驶人高清图像比对系统，出入口应设置卡口抓拍摄像机，比对数据应上传公安系统，是市政资源的合理利用。</w:t>
      </w:r>
    </w:p>
    <w:p w14:paraId="2D5C222A">
      <w:pPr>
        <w:spacing w:line="240" w:lineRule="auto"/>
        <w:rPr>
          <w:rFonts w:ascii="宋体" w:hAnsi="宋体" w:cs="宋体"/>
        </w:rPr>
      </w:pPr>
      <w:r>
        <w:rPr>
          <w:rFonts w:hint="eastAsia" w:ascii="黑体" w:hAnsi="黑体" w:eastAsia="黑体" w:cs="黑体"/>
          <w:lang w:bidi="ar"/>
        </w:rPr>
        <w:t xml:space="preserve">11.2.5 </w:t>
      </w:r>
      <w:r>
        <w:rPr>
          <w:rFonts w:hint="eastAsia" w:ascii="宋体" w:hAnsi="宋体" w:cs="宋体"/>
          <w:b/>
          <w:bCs/>
          <w:lang w:bidi="ar"/>
        </w:rPr>
        <w:t xml:space="preserve"> </w:t>
      </w:r>
      <w:r>
        <w:rPr>
          <w:rFonts w:hint="eastAsia" w:ascii="宋体" w:hAnsi="宋体" w:cs="宋体"/>
          <w:lang w:bidi="ar"/>
        </w:rPr>
        <w:t>微信、支付宝扫码出场已经是一个普遍的民众出行需求。</w:t>
      </w:r>
    </w:p>
    <w:p w14:paraId="294CFCC6">
      <w:pPr>
        <w:spacing w:line="240" w:lineRule="auto"/>
        <w:rPr>
          <w:rFonts w:ascii="宋体" w:hAnsi="宋体" w:cs="宋体"/>
        </w:rPr>
      </w:pPr>
      <w:r>
        <w:rPr>
          <w:rFonts w:hint="eastAsia" w:ascii="黑体" w:hAnsi="黑体" w:eastAsia="黑体" w:cs="黑体"/>
          <w:lang w:bidi="ar"/>
        </w:rPr>
        <w:t>11.2.6</w:t>
      </w:r>
      <w:r>
        <w:rPr>
          <w:rFonts w:hint="eastAsia" w:ascii="宋体" w:hAnsi="宋体" w:cs="宋体"/>
          <w:b/>
          <w:bCs/>
          <w:lang w:bidi="ar"/>
        </w:rPr>
        <w:t xml:space="preserve">  </w:t>
      </w:r>
      <w:r>
        <w:rPr>
          <w:rFonts w:hint="eastAsia" w:ascii="宋体" w:hAnsi="宋体" w:cs="宋体"/>
          <w:lang w:bidi="ar"/>
        </w:rPr>
        <w:t>电瓶车专用检测摄像机是为了监测电瓶车自燃，保障安全。</w:t>
      </w:r>
    </w:p>
    <w:p w14:paraId="08A1B3BB">
      <w:pPr>
        <w:spacing w:line="240" w:lineRule="auto"/>
        <w:rPr>
          <w:rFonts w:ascii="宋体" w:hAnsi="宋体" w:cs="宋体"/>
        </w:rPr>
      </w:pPr>
      <w:r>
        <w:rPr>
          <w:rFonts w:hint="eastAsia" w:ascii="黑体" w:hAnsi="黑体" w:eastAsia="黑体" w:cs="黑体"/>
          <w:lang w:bidi="ar"/>
        </w:rPr>
        <w:t>11.2.7</w:t>
      </w:r>
      <w:r>
        <w:rPr>
          <w:rFonts w:hint="eastAsia" w:ascii="宋体" w:hAnsi="宋体" w:cs="宋体"/>
          <w:b/>
          <w:bCs/>
          <w:lang w:bidi="ar"/>
        </w:rPr>
        <w:t xml:space="preserve">  </w:t>
      </w:r>
      <w:r>
        <w:rPr>
          <w:rFonts w:hint="eastAsia" w:ascii="宋体" w:hAnsi="宋体" w:cs="宋体"/>
          <w:lang w:bidi="ar"/>
        </w:rPr>
        <w:t>一般指地下室的非机动车停车场（库）。</w:t>
      </w:r>
    </w:p>
    <w:p w14:paraId="001FAD9D">
      <w:pPr>
        <w:spacing w:line="240" w:lineRule="auto"/>
        <w:rPr>
          <w:rFonts w:ascii="宋体" w:hAnsi="宋体" w:cs="宋体"/>
        </w:rPr>
      </w:pPr>
      <w:r>
        <w:rPr>
          <w:rFonts w:hint="eastAsia" w:ascii="黑体" w:hAnsi="黑体" w:eastAsia="黑体" w:cs="黑体"/>
          <w:lang w:bidi="ar"/>
        </w:rPr>
        <w:t xml:space="preserve">11.2.8 </w:t>
      </w:r>
      <w:r>
        <w:rPr>
          <w:rFonts w:hint="eastAsia" w:ascii="宋体" w:hAnsi="宋体" w:cs="宋体"/>
          <w:b/>
          <w:bCs/>
          <w:lang w:bidi="ar"/>
        </w:rPr>
        <w:t xml:space="preserve"> </w:t>
      </w:r>
      <w:r>
        <w:rPr>
          <w:rFonts w:hint="eastAsia" w:ascii="宋体" w:hAnsi="宋体" w:cs="宋体"/>
          <w:lang w:bidi="ar"/>
        </w:rPr>
        <w:t>公共停车场（库）必须配套建设视频监控系统，监控出入口及内部车辆的停放、动向，应符合《视频安防监控系统工程设计规范》GB50395的相关规定。同时应该预留接入公安系统的接口，接口应符合《安全防范视频监控联网系统信息传输、交换、控制技术要求》GB T28181的相关规定。</w:t>
      </w:r>
    </w:p>
    <w:p w14:paraId="5E4DDAA8">
      <w:pPr>
        <w:spacing w:line="240" w:lineRule="auto"/>
        <w:rPr>
          <w:rFonts w:ascii="宋体" w:hAnsi="宋体" w:cs="宋体"/>
        </w:rPr>
      </w:pPr>
      <w:r>
        <w:rPr>
          <w:rFonts w:hint="eastAsia" w:ascii="黑体" w:hAnsi="黑体" w:eastAsia="黑体" w:cs="黑体"/>
          <w:lang w:bidi="ar"/>
        </w:rPr>
        <w:t>11.2.9</w:t>
      </w:r>
      <w:r>
        <w:rPr>
          <w:rFonts w:hint="eastAsia" w:ascii="宋体" w:hAnsi="宋体" w:cs="宋体"/>
          <w:b/>
          <w:bCs/>
          <w:lang w:bidi="ar"/>
        </w:rPr>
        <w:t xml:space="preserve">  </w:t>
      </w:r>
      <w:r>
        <w:rPr>
          <w:rFonts w:hint="eastAsia" w:ascii="宋体" w:hAnsi="宋体" w:cs="宋体"/>
          <w:lang w:bidi="ar"/>
        </w:rPr>
        <w:t>智能火焰识别摄像机也是为了监测电动车自燃，保障安全。充电设施宜含智能监测及计费功能，可以对充电桩进行系统的管理。</w:t>
      </w:r>
    </w:p>
    <w:p w14:paraId="3A46354E">
      <w:pPr>
        <w:spacing w:line="240" w:lineRule="auto"/>
        <w:rPr>
          <w:rFonts w:ascii="宋体" w:hAnsi="宋体" w:cs="宋体"/>
        </w:rPr>
      </w:pPr>
      <w:r>
        <w:rPr>
          <w:rFonts w:hint="eastAsia" w:ascii="黑体" w:hAnsi="黑体" w:eastAsia="黑体" w:cs="黑体"/>
          <w:lang w:bidi="ar"/>
        </w:rPr>
        <w:t>11.2.10</w:t>
      </w:r>
      <w:r>
        <w:rPr>
          <w:rFonts w:hint="eastAsia" w:ascii="宋体" w:hAnsi="宋体" w:cs="宋体"/>
          <w:b/>
          <w:bCs/>
          <w:lang w:bidi="ar"/>
        </w:rPr>
        <w:t xml:space="preserve">  </w:t>
      </w:r>
      <w:r>
        <w:rPr>
          <w:rFonts w:hint="eastAsia" w:ascii="宋体" w:hAnsi="宋体" w:cs="宋体"/>
          <w:lang w:bidi="ar"/>
        </w:rPr>
        <w:t>路内的停车位目前主流收费方式是视频识别、扫码停车和人工计费，可以根据实际情况选择。周边存在大型停车引导系统时，也可以同样建设一套停车引导系统，与之对接，如大型产业园区。</w:t>
      </w:r>
    </w:p>
    <w:p w14:paraId="58400DED">
      <w:pPr>
        <w:spacing w:line="240" w:lineRule="auto"/>
        <w:rPr>
          <w:rFonts w:ascii="宋体" w:hAnsi="宋体" w:cs="宋体"/>
          <w:lang w:bidi="ar"/>
        </w:rPr>
      </w:pPr>
      <w:r>
        <w:rPr>
          <w:rFonts w:hint="eastAsia" w:ascii="黑体" w:hAnsi="黑体" w:eastAsia="黑体" w:cs="黑体"/>
          <w:lang w:bidi="ar"/>
        </w:rPr>
        <w:t>11.2.11</w:t>
      </w:r>
      <w:r>
        <w:rPr>
          <w:rFonts w:hint="eastAsia" w:ascii="宋体" w:hAnsi="宋体" w:cs="宋体"/>
          <w:b/>
          <w:bCs/>
          <w:lang w:bidi="ar"/>
        </w:rPr>
        <w:t xml:space="preserve">  </w:t>
      </w:r>
      <w:r>
        <w:rPr>
          <w:rFonts w:hint="eastAsia" w:ascii="宋体" w:hAnsi="宋体" w:cs="宋体"/>
          <w:lang w:bidi="ar"/>
        </w:rPr>
        <w:t>应建设城市停车信息综合管理服务平台，统一管理市政停车场（库）。</w:t>
      </w:r>
    </w:p>
    <w:p w14:paraId="46CDA417">
      <w:pPr>
        <w:pStyle w:val="108"/>
        <w:spacing w:before="312" w:after="312"/>
        <w:outlineLvl w:val="9"/>
      </w:pPr>
      <w:r>
        <w:rPr>
          <w:rFonts w:hint="eastAsia"/>
        </w:rPr>
        <w:t>其他技术要求</w:t>
      </w:r>
    </w:p>
    <w:p w14:paraId="25E5CE21">
      <w:pPr>
        <w:pStyle w:val="108"/>
        <w:numPr>
          <w:ilvl w:val="2"/>
          <w:numId w:val="36"/>
        </w:numPr>
        <w:spacing w:before="312" w:after="312"/>
        <w:outlineLvl w:val="9"/>
        <w:rPr>
          <w:rFonts w:ascii="宋体" w:hAnsi="宋体" w:eastAsia="宋体" w:cs="宋体"/>
          <w:kern w:val="2"/>
          <w:szCs w:val="21"/>
          <w:lang w:bidi="ar"/>
        </w:rPr>
      </w:pPr>
      <w:r>
        <w:rPr>
          <w:rFonts w:hint="eastAsia" w:hAnsi="黑体" w:cs="黑体"/>
          <w:szCs w:val="21"/>
          <w:lang w:bidi="ar"/>
        </w:rPr>
        <w:t>建筑标准</w:t>
      </w:r>
    </w:p>
    <w:p w14:paraId="0FE7EB98">
      <w:pPr>
        <w:spacing w:before="312" w:beforeLines="100" w:after="312" w:afterLines="100" w:line="240" w:lineRule="auto"/>
        <w:jc w:val="left"/>
        <w:rPr>
          <w:rFonts w:ascii="宋体" w:hAnsi="宋体"/>
          <w:kern w:val="0"/>
          <w:szCs w:val="20"/>
          <w:lang w:bidi="ar"/>
        </w:rPr>
      </w:pPr>
      <w:r>
        <w:rPr>
          <w:rFonts w:hint="eastAsia" w:ascii="黑体" w:hAnsi="黑体" w:eastAsia="黑体" w:cs="黑体"/>
          <w:szCs w:val="24"/>
          <w:lang w:bidi="ar"/>
        </w:rPr>
        <w:t>1</w:t>
      </w:r>
      <w:r>
        <w:rPr>
          <w:rFonts w:hint="eastAsia" w:ascii="黑体" w:hAnsi="黑体" w:eastAsia="黑体" w:cs="黑体"/>
          <w:szCs w:val="24"/>
          <w:lang w:val="en-US" w:eastAsia="zh-CN" w:bidi="ar"/>
        </w:rPr>
        <w:t>2</w:t>
      </w:r>
      <w:r>
        <w:rPr>
          <w:rFonts w:hint="eastAsia" w:ascii="黑体" w:hAnsi="黑体" w:eastAsia="黑体" w:cs="黑体"/>
          <w:szCs w:val="24"/>
          <w:lang w:bidi="ar"/>
        </w:rPr>
        <w:t>.1.1 、1</w:t>
      </w:r>
      <w:r>
        <w:rPr>
          <w:rFonts w:hint="eastAsia" w:ascii="黑体" w:hAnsi="黑体" w:eastAsia="黑体" w:cs="黑体"/>
          <w:szCs w:val="24"/>
          <w:lang w:val="en-US" w:eastAsia="zh-CN" w:bidi="ar"/>
        </w:rPr>
        <w:t>2</w:t>
      </w:r>
      <w:r>
        <w:rPr>
          <w:rFonts w:hint="eastAsia" w:ascii="黑体" w:hAnsi="黑体" w:eastAsia="黑体" w:cs="黑体"/>
          <w:szCs w:val="24"/>
          <w:lang w:bidi="ar"/>
        </w:rPr>
        <w:t>.1.2</w:t>
      </w:r>
      <w:r>
        <w:rPr>
          <w:rFonts w:hint="eastAsia" w:ascii="宋体" w:hAnsi="宋体" w:cs="宋体"/>
          <w:b/>
          <w:bCs/>
          <w:szCs w:val="24"/>
          <w:lang w:bidi="ar"/>
        </w:rPr>
        <w:t xml:space="preserve">  </w:t>
      </w:r>
      <w:r>
        <w:rPr>
          <w:rFonts w:hint="eastAsia" w:ascii="宋体" w:hAnsi="宋体"/>
          <w:kern w:val="0"/>
          <w:szCs w:val="20"/>
          <w:lang w:bidi="ar"/>
        </w:rPr>
        <w:t>条文参考</w:t>
      </w:r>
      <w:r>
        <w:rPr>
          <w:rFonts w:ascii="宋体" w:hAnsi="宋体"/>
          <w:kern w:val="0"/>
          <w:szCs w:val="20"/>
          <w:lang w:bidi="ar"/>
        </w:rPr>
        <w:t>北京市地方标准</w:t>
      </w:r>
      <w:r>
        <w:rPr>
          <w:rFonts w:hint="eastAsia" w:ascii="宋体" w:hAnsi="宋体"/>
          <w:kern w:val="0"/>
          <w:szCs w:val="20"/>
          <w:lang w:bidi="ar"/>
        </w:rPr>
        <w:t>《</w:t>
      </w:r>
      <w:r>
        <w:rPr>
          <w:rFonts w:ascii="宋体" w:hAnsi="宋体"/>
          <w:kern w:val="0"/>
          <w:szCs w:val="20"/>
          <w:lang w:bidi="ar"/>
        </w:rPr>
        <w:t>公共停车场工程建设规范</w:t>
      </w:r>
      <w:r>
        <w:rPr>
          <w:rFonts w:hint="eastAsia" w:ascii="宋体" w:hAnsi="宋体"/>
          <w:kern w:val="0"/>
          <w:szCs w:val="20"/>
          <w:lang w:bidi="ar"/>
        </w:rPr>
        <w:t>》</w:t>
      </w:r>
      <w:r>
        <w:rPr>
          <w:rFonts w:ascii="宋体" w:hAnsi="宋体"/>
          <w:kern w:val="0"/>
          <w:szCs w:val="20"/>
          <w:lang w:bidi="ar"/>
        </w:rPr>
        <w:t>DB11/T 595-2008</w:t>
      </w:r>
      <w:r>
        <w:rPr>
          <w:rFonts w:hint="eastAsia" w:ascii="宋体" w:hAnsi="宋体"/>
          <w:kern w:val="0"/>
          <w:szCs w:val="20"/>
          <w:lang w:bidi="ar"/>
        </w:rPr>
        <w:t>关于</w:t>
      </w:r>
      <w:r>
        <w:rPr>
          <w:rFonts w:ascii="宋体" w:hAnsi="宋体"/>
          <w:kern w:val="0"/>
          <w:szCs w:val="20"/>
          <w:lang w:bidi="ar"/>
        </w:rPr>
        <w:t>公共停车场的相关规定。对公共停车场的地面材质、坡度等构造做了相关要求，降低安全隐患。</w:t>
      </w:r>
    </w:p>
    <w:p w14:paraId="07377376">
      <w:pPr>
        <w:pStyle w:val="108"/>
        <w:numPr>
          <w:ilvl w:val="2"/>
          <w:numId w:val="36"/>
        </w:numPr>
        <w:spacing w:before="312" w:after="312"/>
        <w:outlineLvl w:val="9"/>
      </w:pPr>
      <w:r>
        <w:rPr>
          <w:rFonts w:hint="eastAsia" w:hAnsi="黑体" w:cs="黑体"/>
          <w:szCs w:val="21"/>
          <w:lang w:bidi="ar"/>
        </w:rPr>
        <w:t>建筑设备</w:t>
      </w:r>
    </w:p>
    <w:p w14:paraId="1602A8D9">
      <w:pPr>
        <w:pStyle w:val="108"/>
        <w:numPr>
          <w:ilvl w:val="3"/>
          <w:numId w:val="37"/>
        </w:numPr>
        <w:spacing w:before="312" w:after="312"/>
        <w:outlineLvl w:val="9"/>
      </w:pPr>
      <w:r>
        <w:rPr>
          <w:rFonts w:hint="eastAsia" w:hAnsi="黑体" w:cs="黑体"/>
          <w:szCs w:val="21"/>
          <w:lang w:bidi="ar"/>
        </w:rPr>
        <w:t>给排水系统</w:t>
      </w:r>
    </w:p>
    <w:p w14:paraId="5BBCC3E1">
      <w:pPr>
        <w:pStyle w:val="26"/>
        <w:widowControl w:val="0"/>
        <w:adjustRightInd w:val="0"/>
        <w:spacing w:before="72" w:beforeAutospacing="0" w:afterAutospacing="0"/>
        <w:ind w:right="295"/>
        <w:jc w:val="both"/>
        <w:rPr>
          <w:rFonts w:cs="宋体"/>
          <w:kern w:val="2"/>
          <w:sz w:val="21"/>
          <w:szCs w:val="21"/>
          <w:lang w:bidi="ar"/>
        </w:rPr>
      </w:pPr>
      <w:r>
        <w:rPr>
          <w:rFonts w:hint="eastAsia" w:ascii="黑体" w:hAnsi="黑体" w:eastAsia="黑体" w:cs="黑体"/>
          <w:kern w:val="2"/>
          <w:sz w:val="21"/>
          <w:szCs w:val="21"/>
          <w:lang w:bidi="ar"/>
        </w:rPr>
        <w:t>12.2.1.4</w:t>
      </w:r>
      <w:r>
        <w:rPr>
          <w:rFonts w:hint="eastAsia" w:cs="宋体"/>
          <w:b/>
          <w:bCs/>
          <w:kern w:val="2"/>
          <w:sz w:val="21"/>
          <w:szCs w:val="21"/>
          <w:lang w:bidi="ar"/>
        </w:rPr>
        <w:t xml:space="preserve">  </w:t>
      </w:r>
      <w:r>
        <w:rPr>
          <w:rFonts w:cs="宋体"/>
          <w:kern w:val="2"/>
          <w:sz w:val="21"/>
          <w:szCs w:val="21"/>
          <w:lang w:bidi="ar"/>
        </w:rPr>
        <w:t>集水坑若无法避开</w:t>
      </w:r>
      <w:r>
        <w:rPr>
          <w:rFonts w:hint="eastAsia" w:cs="宋体"/>
          <w:kern w:val="2"/>
          <w:sz w:val="21"/>
          <w:szCs w:val="21"/>
          <w:lang w:bidi="ar"/>
        </w:rPr>
        <w:t>停车位</w:t>
      </w:r>
      <w:r>
        <w:rPr>
          <w:rFonts w:cs="宋体"/>
          <w:kern w:val="2"/>
          <w:sz w:val="21"/>
          <w:szCs w:val="21"/>
          <w:lang w:bidi="ar"/>
        </w:rPr>
        <w:t>，则应确保检修人孔避开车轮位置，并避免同时影响两个车位。</w:t>
      </w:r>
      <w:r>
        <w:rPr>
          <w:rFonts w:cs="宋体"/>
          <w:b/>
          <w:bCs/>
          <w:kern w:val="2"/>
          <w:sz w:val="21"/>
          <w:szCs w:val="21"/>
          <w:lang w:bidi="ar"/>
        </w:rPr>
        <w:t xml:space="preserve"> </w:t>
      </w:r>
      <w:r>
        <w:rPr>
          <w:rFonts w:hint="eastAsia" w:ascii="黑体" w:hAnsi="黑体" w:eastAsia="黑体" w:cs="黑体"/>
          <w:kern w:val="2"/>
          <w:sz w:val="21"/>
          <w:szCs w:val="21"/>
          <w:lang w:bidi="ar"/>
        </w:rPr>
        <w:t>12.2.1.10</w:t>
      </w:r>
      <w:r>
        <w:rPr>
          <w:rFonts w:hint="eastAsia" w:cs="宋体"/>
          <w:b/>
          <w:bCs/>
          <w:kern w:val="2"/>
          <w:sz w:val="21"/>
          <w:szCs w:val="21"/>
          <w:lang w:bidi="ar"/>
        </w:rPr>
        <w:t xml:space="preserve">  </w:t>
      </w:r>
      <w:r>
        <w:rPr>
          <w:rFonts w:cs="宋体"/>
          <w:kern w:val="2"/>
          <w:sz w:val="21"/>
          <w:szCs w:val="21"/>
          <w:lang w:bidi="ar"/>
        </w:rPr>
        <w:t>本条引自《电动汽车充电站设计规范》及《建筑防火消防设施通用规范》。</w:t>
      </w:r>
    </w:p>
    <w:p w14:paraId="1CD7095E">
      <w:pPr>
        <w:pStyle w:val="108"/>
        <w:numPr>
          <w:ilvl w:val="3"/>
          <w:numId w:val="37"/>
        </w:numPr>
        <w:spacing w:before="312" w:after="312"/>
        <w:outlineLvl w:val="9"/>
        <w:rPr>
          <w:rFonts w:cs="宋体"/>
          <w:kern w:val="2"/>
          <w:szCs w:val="21"/>
          <w:lang w:bidi="ar"/>
        </w:rPr>
      </w:pPr>
      <w:r>
        <w:rPr>
          <w:rFonts w:hint="eastAsia" w:hAnsi="黑体" w:cs="黑体"/>
          <w:kern w:val="2"/>
          <w:szCs w:val="21"/>
        </w:rPr>
        <w:t>通风（智能通风）</w:t>
      </w:r>
      <w:r>
        <w:rPr>
          <w:rFonts w:hint="eastAsia" w:hAnsi="黑体" w:cs="黑体"/>
          <w:szCs w:val="21"/>
          <w:lang w:bidi="ar"/>
        </w:rPr>
        <w:t>系统</w:t>
      </w:r>
    </w:p>
    <w:p w14:paraId="50D25E57">
      <w:pPr>
        <w:spacing w:line="240" w:lineRule="auto"/>
        <w:rPr>
          <w:rFonts w:ascii="宋体" w:hAnsi="宋体" w:cs="宋体"/>
          <w:kern w:val="0"/>
          <w:shd w:val="clear" w:color="auto" w:fill="FFFFFF"/>
        </w:rPr>
      </w:pPr>
      <w:r>
        <w:rPr>
          <w:rFonts w:hint="eastAsia" w:ascii="黑体" w:hAnsi="黑体" w:eastAsia="黑体" w:cs="黑体"/>
          <w:kern w:val="0"/>
          <w:shd w:val="clear" w:color="auto" w:fill="FFFFFF"/>
          <w:lang w:bidi="ar"/>
        </w:rPr>
        <w:t xml:space="preserve">12.2.2.1  </w:t>
      </w:r>
      <w:r>
        <w:rPr>
          <w:rFonts w:hint="eastAsia" w:ascii="宋体" w:hAnsi="宋体" w:cs="宋体"/>
          <w:kern w:val="0"/>
          <w:shd w:val="clear" w:color="auto" w:fill="FFFFFF"/>
          <w:lang w:bidi="ar"/>
        </w:rPr>
        <w:t>当停车区域自然通风达不到稀释废气标准时，应设置机械排风系统，并应符合国家现行标准《工业企业设计卫生标准》GBZ1的规定。</w:t>
      </w:r>
    </w:p>
    <w:p w14:paraId="2FD3B825">
      <w:pPr>
        <w:spacing w:line="240" w:lineRule="auto"/>
        <w:rPr>
          <w:rFonts w:ascii="宋体" w:hAnsi="宋体" w:cs="宋体"/>
          <w:kern w:val="0"/>
          <w:shd w:val="clear" w:color="auto" w:fill="FFFFFF"/>
          <w:lang w:bidi="ar"/>
        </w:rPr>
      </w:pPr>
      <w:r>
        <w:rPr>
          <w:rFonts w:hint="eastAsia" w:ascii="黑体" w:hAnsi="黑体" w:eastAsia="黑体" w:cs="黑体"/>
          <w:kern w:val="0"/>
          <w:shd w:val="clear" w:color="auto" w:fill="FFFFFF"/>
          <w:lang w:bidi="ar"/>
        </w:rPr>
        <w:t>1</w:t>
      </w:r>
      <w:r>
        <w:rPr>
          <w:rFonts w:hint="eastAsia" w:ascii="黑体" w:hAnsi="黑体" w:eastAsia="黑体" w:cs="黑体"/>
          <w:kern w:val="0"/>
          <w:shd w:val="clear" w:color="auto" w:fill="FFFFFF"/>
          <w:lang w:val="en-US" w:eastAsia="zh-CN" w:bidi="ar"/>
        </w:rPr>
        <w:t>2</w:t>
      </w:r>
      <w:r>
        <w:rPr>
          <w:rFonts w:hint="eastAsia" w:ascii="黑体" w:hAnsi="黑体" w:eastAsia="黑体" w:cs="黑体"/>
          <w:kern w:val="0"/>
          <w:shd w:val="clear" w:color="auto" w:fill="FFFFFF"/>
          <w:lang w:bidi="ar"/>
        </w:rPr>
        <w:t xml:space="preserve">.2.2.4  </w:t>
      </w:r>
      <w:r>
        <w:rPr>
          <w:rFonts w:hint="eastAsia" w:ascii="宋体" w:hAnsi="宋体" w:cs="宋体"/>
          <w:kern w:val="0"/>
          <w:shd w:val="clear" w:color="auto" w:fill="FFFFFF"/>
          <w:lang w:bidi="ar"/>
        </w:rPr>
        <w:t>车辆出入频率小于设计时，实际换气量可以减小，送、排风机采用多台并联或设置调速装置，可以适应不同情况下的风量调节要求，减少运行能耗。</w:t>
      </w:r>
    </w:p>
    <w:p w14:paraId="3B1B9431">
      <w:pPr>
        <w:pStyle w:val="108"/>
        <w:numPr>
          <w:ilvl w:val="3"/>
          <w:numId w:val="37"/>
        </w:numPr>
        <w:spacing w:before="312" w:after="312"/>
        <w:outlineLvl w:val="9"/>
      </w:pPr>
      <w:r>
        <w:rPr>
          <w:rFonts w:hint="eastAsia" w:hAnsi="黑体" w:cs="黑体"/>
          <w:kern w:val="2"/>
          <w:szCs w:val="21"/>
        </w:rPr>
        <w:t>电气</w:t>
      </w:r>
      <w:r>
        <w:rPr>
          <w:rFonts w:hint="eastAsia" w:hAnsi="黑体" w:cs="黑体"/>
          <w:szCs w:val="21"/>
          <w:lang w:bidi="ar"/>
        </w:rPr>
        <w:t>系统</w:t>
      </w:r>
    </w:p>
    <w:p w14:paraId="4403C0D5">
      <w:pPr>
        <w:spacing w:line="240" w:lineRule="auto"/>
        <w:jc w:val="left"/>
        <w:rPr>
          <w:rFonts w:ascii="黑体" w:hAnsi="宋体" w:eastAsia="黑体" w:cs="黑体"/>
          <w:lang w:bidi="ar"/>
        </w:rPr>
      </w:pPr>
      <w:r>
        <w:rPr>
          <w:rFonts w:hint="eastAsia" w:ascii="黑体" w:hAnsi="黑体" w:eastAsia="黑体" w:cs="黑体"/>
          <w:lang w:bidi="ar"/>
        </w:rPr>
        <w:t xml:space="preserve">12.2.3.1  </w:t>
      </w:r>
      <w:r>
        <w:rPr>
          <w:rFonts w:hint="eastAsia" w:ascii="宋体" w:hAnsi="宋体" w:cs="宋体"/>
          <w:lang w:bidi="ar"/>
        </w:rPr>
        <w:t>消防负荷等级按</w:t>
      </w:r>
      <w:r>
        <w:rPr>
          <w:rFonts w:hint="eastAsia" w:ascii="宋体" w:hAnsi="宋体" w:cs="宋体"/>
          <w:color w:val="000000"/>
          <w:shd w:val="clear" w:color="auto" w:fill="FFFFFF"/>
          <w:lang w:bidi="ar"/>
        </w:rPr>
        <w:t>《</w:t>
      </w:r>
      <w:r>
        <w:rPr>
          <w:rFonts w:hint="eastAsia" w:ascii="宋体" w:hAnsi="宋体" w:cs="宋体"/>
          <w:bCs/>
          <w:color w:val="000000"/>
          <w:lang w:bidi="ar"/>
        </w:rPr>
        <w:t xml:space="preserve">汽车库、修车库、停车场设计防火规范》 </w:t>
      </w:r>
      <w:r>
        <w:rPr>
          <w:rFonts w:hint="eastAsia" w:ascii="宋体" w:hAnsi="宋体" w:cs="宋体"/>
          <w:color w:val="000000"/>
          <w:shd w:val="clear" w:color="auto" w:fill="FFFFFF"/>
          <w:lang w:bidi="ar"/>
        </w:rPr>
        <w:t>GB 50067</w:t>
      </w:r>
      <w:r>
        <w:rPr>
          <w:rFonts w:ascii="宋体" w:hAnsi="宋体" w:cs="宋体"/>
          <w:color w:val="000000"/>
          <w:shd w:val="clear" w:color="auto" w:fill="FFFFFF"/>
          <w:lang w:bidi="ar"/>
        </w:rPr>
        <w:t>的相关条文执行；普通负荷等级按</w:t>
      </w:r>
      <w:r>
        <w:rPr>
          <w:rFonts w:hint="eastAsia" w:ascii="宋体" w:hAnsi="宋体" w:cs="宋体"/>
          <w:color w:val="000000"/>
          <w:shd w:val="clear" w:color="auto" w:fill="FFFFFF"/>
          <w:lang w:bidi="ar"/>
        </w:rPr>
        <w:t>《车库建筑设计规范》 JGJ 100</w:t>
      </w:r>
      <w:r>
        <w:rPr>
          <w:rFonts w:ascii="宋体" w:hAnsi="宋体" w:cs="宋体"/>
          <w:color w:val="000000"/>
          <w:shd w:val="clear" w:color="auto" w:fill="FFFFFF"/>
          <w:lang w:bidi="ar"/>
        </w:rPr>
        <w:t>和</w:t>
      </w:r>
      <w:r>
        <w:rPr>
          <w:rFonts w:hint="eastAsia" w:ascii="宋体" w:hAnsi="宋体" w:cs="宋体"/>
          <w:color w:val="000000"/>
          <w:shd w:val="clear" w:color="auto" w:fill="FFFFFF"/>
          <w:lang w:bidi="ar"/>
        </w:rPr>
        <w:t>《机械式停车设备设计规范》 GB/T 39980</w:t>
      </w:r>
      <w:r>
        <w:rPr>
          <w:rFonts w:ascii="宋体" w:hAnsi="宋体" w:cs="宋体"/>
          <w:color w:val="000000"/>
          <w:shd w:val="clear" w:color="auto" w:fill="FFFFFF"/>
          <w:lang w:bidi="ar"/>
        </w:rPr>
        <w:t>的相关条文执行。</w:t>
      </w:r>
    </w:p>
    <w:p w14:paraId="6398C4A7">
      <w:pPr>
        <w:spacing w:line="240" w:lineRule="auto"/>
        <w:rPr>
          <w:rFonts w:ascii="宋体" w:hAnsi="宋体" w:cs="宋体"/>
          <w:kern w:val="0"/>
          <w:shd w:val="clear" w:color="auto" w:fill="FFFFFF"/>
        </w:rPr>
      </w:pPr>
      <w:r>
        <w:rPr>
          <w:rFonts w:hint="eastAsia" w:ascii="黑体" w:hAnsi="黑体" w:eastAsia="黑体" w:cs="黑体"/>
          <w:kern w:val="0"/>
          <w:shd w:val="clear" w:color="auto" w:fill="FFFFFF"/>
        </w:rPr>
        <w:t>12.2.3.2</w:t>
      </w:r>
      <w:r>
        <w:rPr>
          <w:rFonts w:hint="eastAsia" w:ascii="宋体" w:hAnsi="宋体" w:cs="宋体"/>
          <w:kern w:val="0"/>
          <w:shd w:val="clear" w:color="auto" w:fill="FFFFFF"/>
        </w:rPr>
        <w:t xml:space="preserve">  </w:t>
      </w:r>
      <w:r>
        <w:rPr>
          <w:rFonts w:ascii="宋体" w:hAnsi="宋体" w:cs="宋体"/>
          <w:kern w:val="0"/>
          <w:shd w:val="clear" w:color="auto" w:fill="FFFFFF"/>
        </w:rPr>
        <w:t>车库照明应符合相关节能要求。</w:t>
      </w:r>
    </w:p>
    <w:p w14:paraId="45BB29BD">
      <w:pPr>
        <w:spacing w:line="240" w:lineRule="auto"/>
        <w:rPr>
          <w:rFonts w:ascii="宋体" w:hAnsi="宋体" w:cs="宋体"/>
          <w:color w:val="000000"/>
          <w:shd w:val="clear" w:color="auto" w:fill="FFFFFF"/>
          <w:lang w:bidi="ar"/>
        </w:rPr>
      </w:pPr>
      <w:r>
        <w:rPr>
          <w:rFonts w:hint="eastAsia" w:ascii="黑体" w:hAnsi="黑体" w:eastAsia="黑体" w:cs="黑体"/>
          <w:kern w:val="0"/>
          <w:shd w:val="clear" w:color="auto" w:fill="FFFFFF"/>
        </w:rPr>
        <w:t>12.2.3.5</w:t>
      </w:r>
      <w:r>
        <w:rPr>
          <w:rFonts w:ascii="宋体" w:hAnsi="宋体" w:cs="宋体"/>
          <w:kern w:val="0"/>
          <w:shd w:val="clear" w:color="auto" w:fill="FFFFFF"/>
        </w:rPr>
        <w:t xml:space="preserve"> </w:t>
      </w:r>
      <w:r>
        <w:rPr>
          <w:rFonts w:hint="eastAsia" w:ascii="宋体" w:hAnsi="宋体" w:cs="宋体"/>
          <w:kern w:val="0"/>
          <w:shd w:val="clear" w:color="auto" w:fill="FFFFFF"/>
        </w:rPr>
        <w:t xml:space="preserve"> </w:t>
      </w:r>
      <w:r>
        <w:rPr>
          <w:rFonts w:ascii="宋体" w:hAnsi="宋体" w:cs="宋体"/>
          <w:kern w:val="0"/>
          <w:shd w:val="clear" w:color="auto" w:fill="FFFFFF"/>
        </w:rPr>
        <w:t>雷击防护应考虑防直击雷和防雷击电磁脉冲的措施。对于停车楼，雷击防护应按</w:t>
      </w:r>
      <w:r>
        <w:rPr>
          <w:rFonts w:hint="eastAsia" w:ascii="宋体" w:hAnsi="宋体" w:cs="宋体"/>
          <w:color w:val="000000"/>
          <w:shd w:val="clear" w:color="auto" w:fill="FFFFFF"/>
          <w:lang w:bidi="ar"/>
        </w:rPr>
        <w:t>《建筑物防雷设计规范》GB 50057</w:t>
      </w:r>
      <w:r>
        <w:rPr>
          <w:rFonts w:ascii="宋体" w:hAnsi="宋体" w:cs="宋体"/>
          <w:color w:val="000000"/>
          <w:shd w:val="clear" w:color="auto" w:fill="FFFFFF"/>
          <w:lang w:bidi="ar"/>
        </w:rPr>
        <w:t>相关条文确定的雷电防护等级采取相应措施；对于高位停车设备（指机械停车设备）可参考</w:t>
      </w:r>
      <w:r>
        <w:rPr>
          <w:rFonts w:hint="eastAsia" w:ascii="宋体" w:hAnsi="宋体" w:cs="宋体"/>
          <w:color w:val="000000"/>
          <w:shd w:val="clear" w:color="auto" w:fill="FFFFFF"/>
          <w:lang w:bidi="ar"/>
        </w:rPr>
        <w:t>《建筑物防雷设计规范》GB 50057</w:t>
      </w:r>
      <w:r>
        <w:rPr>
          <w:rFonts w:ascii="宋体" w:hAnsi="宋体" w:cs="宋体"/>
          <w:color w:val="000000"/>
          <w:shd w:val="clear" w:color="auto" w:fill="FFFFFF"/>
          <w:lang w:bidi="ar"/>
        </w:rPr>
        <w:t>以及停车设备厂家的防雷建议作出相应雷击防护措施。</w:t>
      </w:r>
    </w:p>
    <w:p w14:paraId="4123D162">
      <w:pPr>
        <w:spacing w:line="240" w:lineRule="auto"/>
        <w:rPr>
          <w:rFonts w:ascii="宋体" w:hAnsi="宋体" w:cs="宋体"/>
          <w:color w:val="000000"/>
          <w:shd w:val="clear" w:color="auto" w:fill="FFFFFF"/>
          <w:lang w:bidi="ar"/>
        </w:rPr>
      </w:pPr>
      <w:r>
        <w:rPr>
          <w:rFonts w:hint="eastAsia" w:ascii="黑体" w:hAnsi="黑体" w:eastAsia="黑体" w:cs="黑体"/>
          <w:color w:val="000000"/>
          <w:shd w:val="clear" w:color="auto" w:fill="FFFFFF"/>
          <w:lang w:bidi="ar"/>
        </w:rPr>
        <w:t>12.2.3.6</w:t>
      </w:r>
      <w:r>
        <w:rPr>
          <w:rFonts w:ascii="宋体" w:hAnsi="宋体" w:cs="宋体"/>
          <w:color w:val="000000"/>
          <w:shd w:val="clear" w:color="auto" w:fill="FFFFFF"/>
          <w:lang w:bidi="ar"/>
        </w:rPr>
        <w:t xml:space="preserve"> </w:t>
      </w:r>
      <w:r>
        <w:rPr>
          <w:rFonts w:hint="eastAsia" w:ascii="宋体" w:hAnsi="宋体" w:cs="宋体"/>
          <w:color w:val="000000"/>
          <w:shd w:val="clear" w:color="auto" w:fill="FFFFFF"/>
          <w:lang w:bidi="ar"/>
        </w:rPr>
        <w:t xml:space="preserve"> </w:t>
      </w:r>
      <w:r>
        <w:rPr>
          <w:rFonts w:ascii="宋体" w:hAnsi="宋体" w:cs="宋体"/>
          <w:color w:val="000000"/>
          <w:shd w:val="clear" w:color="auto" w:fill="FFFFFF"/>
          <w:lang w:bidi="ar"/>
        </w:rPr>
        <w:t>通常情况下采取TN-S系统是可行的；当停车设备为室外孤立的用电设备，亦可采用TT接地系统。</w:t>
      </w:r>
    </w:p>
    <w:p w14:paraId="3B75D070">
      <w:pPr>
        <w:spacing w:line="240" w:lineRule="auto"/>
        <w:rPr>
          <w:rFonts w:ascii="宋体" w:hAnsi="宋体" w:cs="宋体"/>
          <w:color w:val="000000"/>
          <w:spacing w:val="-5"/>
          <w:lang w:bidi="ar"/>
        </w:rPr>
      </w:pPr>
      <w:r>
        <w:rPr>
          <w:rFonts w:hint="eastAsia" w:ascii="黑体" w:hAnsi="黑体" w:eastAsia="黑体" w:cs="黑体"/>
          <w:color w:val="000000"/>
          <w:shd w:val="clear" w:color="auto" w:fill="FFFFFF"/>
          <w:lang w:bidi="ar"/>
        </w:rPr>
        <w:t>12.2.3.8</w:t>
      </w:r>
      <w:r>
        <w:rPr>
          <w:rFonts w:ascii="宋体" w:hAnsi="宋体" w:cs="宋体"/>
          <w:color w:val="000000"/>
          <w:shd w:val="clear" w:color="auto" w:fill="FFFFFF"/>
          <w:lang w:bidi="ar"/>
        </w:rPr>
        <w:t xml:space="preserve"> </w:t>
      </w:r>
      <w:r>
        <w:rPr>
          <w:rFonts w:hint="eastAsia" w:ascii="宋体" w:hAnsi="宋体" w:cs="宋体"/>
          <w:color w:val="000000"/>
          <w:shd w:val="clear" w:color="auto" w:fill="FFFFFF"/>
          <w:lang w:bidi="ar"/>
        </w:rPr>
        <w:t xml:space="preserve"> </w:t>
      </w:r>
      <w:r>
        <w:rPr>
          <w:rFonts w:ascii="宋体" w:hAnsi="宋体" w:cs="宋体"/>
          <w:color w:val="000000"/>
          <w:shd w:val="clear" w:color="auto" w:fill="FFFFFF"/>
          <w:lang w:bidi="ar"/>
        </w:rPr>
        <w:t>充电桩配建比例可根据实际需求作相应调整，但不得低于</w:t>
      </w:r>
      <w:r>
        <w:rPr>
          <w:rFonts w:hint="eastAsia" w:ascii="宋体" w:hAnsi="宋体" w:cs="宋体"/>
          <w:color w:val="000000"/>
          <w:lang w:bidi="ar"/>
        </w:rPr>
        <w:t>《福建省电动汽车充电基础设</w:t>
      </w:r>
      <w:r>
        <w:rPr>
          <w:rFonts w:hint="eastAsia" w:ascii="宋体" w:hAnsi="宋体" w:cs="宋体"/>
          <w:color w:val="000000"/>
          <w:spacing w:val="-10"/>
          <w:lang w:bidi="ar"/>
        </w:rPr>
        <w:t>施</w:t>
      </w:r>
      <w:r>
        <w:rPr>
          <w:rFonts w:hint="eastAsia" w:ascii="宋体" w:hAnsi="宋体" w:cs="宋体"/>
          <w:color w:val="000000"/>
          <w:lang w:bidi="ar"/>
        </w:rPr>
        <w:t>建设技术</w:t>
      </w:r>
      <w:r>
        <w:rPr>
          <w:rFonts w:hint="eastAsia" w:ascii="宋体" w:hAnsi="宋体" w:cs="宋体"/>
          <w:color w:val="000000"/>
          <w:spacing w:val="-5"/>
          <w:lang w:bidi="ar"/>
        </w:rPr>
        <w:t>规程》DBJ 13-278</w:t>
      </w:r>
      <w:r>
        <w:rPr>
          <w:rFonts w:ascii="宋体" w:hAnsi="宋体" w:cs="宋体"/>
          <w:color w:val="000000"/>
          <w:spacing w:val="-5"/>
          <w:lang w:bidi="ar"/>
        </w:rPr>
        <w:t>的规定。</w:t>
      </w:r>
    </w:p>
    <w:p w14:paraId="37E52DF8">
      <w:pPr>
        <w:pStyle w:val="108"/>
        <w:numPr>
          <w:ilvl w:val="2"/>
          <w:numId w:val="36"/>
        </w:numPr>
        <w:spacing w:before="312" w:after="312"/>
        <w:outlineLvl w:val="9"/>
      </w:pPr>
      <w:r>
        <w:rPr>
          <w:rFonts w:hint="eastAsia" w:hAnsi="黑体" w:cs="黑体"/>
          <w:szCs w:val="21"/>
          <w:lang w:bidi="ar"/>
        </w:rPr>
        <w:t>安全防护设施</w:t>
      </w:r>
    </w:p>
    <w:p w14:paraId="6455346D">
      <w:pPr>
        <w:spacing w:before="312" w:beforeLines="100" w:after="312" w:afterLines="100" w:line="240" w:lineRule="auto"/>
        <w:rPr>
          <w:rFonts w:ascii="宋体" w:hAnsi="宋体"/>
          <w:kern w:val="0"/>
          <w:szCs w:val="20"/>
          <w:lang w:bidi="ar"/>
        </w:rPr>
      </w:pPr>
      <w:r>
        <w:rPr>
          <w:rFonts w:hint="eastAsia" w:ascii="黑体" w:hAnsi="黑体" w:eastAsia="黑体" w:cs="黑体"/>
          <w:szCs w:val="24"/>
          <w:lang w:bidi="ar"/>
        </w:rPr>
        <w:t>12.3.1、12.3.2、12.3.3</w:t>
      </w:r>
      <w:r>
        <w:rPr>
          <w:rFonts w:hint="eastAsia" w:ascii="宋体" w:hAnsi="宋体" w:cs="宋体"/>
          <w:b/>
          <w:bCs/>
          <w:szCs w:val="24"/>
          <w:lang w:bidi="ar"/>
        </w:rPr>
        <w:t xml:space="preserve">  </w:t>
      </w:r>
      <w:r>
        <w:rPr>
          <w:rFonts w:hint="eastAsia" w:ascii="宋体" w:hAnsi="宋体"/>
          <w:kern w:val="0"/>
          <w:szCs w:val="20"/>
          <w:lang w:bidi="ar"/>
        </w:rPr>
        <w:t>条文参考</w:t>
      </w:r>
      <w:r>
        <w:rPr>
          <w:rFonts w:ascii="宋体" w:hAnsi="宋体"/>
          <w:kern w:val="0"/>
          <w:szCs w:val="20"/>
          <w:lang w:bidi="ar"/>
        </w:rPr>
        <w:t>北京市建标</w:t>
      </w:r>
      <w:r>
        <w:rPr>
          <w:rFonts w:hint="eastAsia" w:ascii="宋体" w:hAnsi="宋体"/>
          <w:kern w:val="0"/>
          <w:szCs w:val="20"/>
          <w:lang w:bidi="ar"/>
        </w:rPr>
        <w:t>《城市公共停车场工程项目建设标准》</w:t>
      </w:r>
      <w:r>
        <w:rPr>
          <w:rFonts w:ascii="宋体" w:hAnsi="宋体"/>
          <w:kern w:val="0"/>
          <w:szCs w:val="20"/>
          <w:lang w:bidi="ar"/>
        </w:rPr>
        <w:t>建标128-2010关于公共停车场（库）安全防护设施的相关规定。</w:t>
      </w:r>
    </w:p>
    <w:p w14:paraId="5CCF742C">
      <w:pPr>
        <w:pStyle w:val="108"/>
        <w:numPr>
          <w:ilvl w:val="2"/>
          <w:numId w:val="36"/>
        </w:numPr>
        <w:spacing w:before="312" w:after="312"/>
        <w:outlineLvl w:val="9"/>
      </w:pPr>
      <w:r>
        <w:rPr>
          <w:rFonts w:hint="eastAsia" w:hAnsi="黑体" w:cs="黑体"/>
          <w:szCs w:val="21"/>
          <w:lang w:bidi="ar"/>
        </w:rPr>
        <w:t>环境保护设施</w:t>
      </w:r>
    </w:p>
    <w:p w14:paraId="3EA92D36">
      <w:pPr>
        <w:spacing w:before="312" w:beforeLines="100" w:after="312" w:afterLines="100" w:line="240" w:lineRule="auto"/>
        <w:rPr>
          <w:rFonts w:ascii="宋体" w:hAnsi="宋体"/>
          <w:kern w:val="0"/>
          <w:lang w:bidi="ar"/>
        </w:rPr>
      </w:pPr>
      <w:r>
        <w:rPr>
          <w:rFonts w:hint="eastAsia" w:ascii="黑体" w:hAnsi="黑体" w:eastAsia="黑体" w:cs="黑体"/>
          <w:lang w:bidi="ar"/>
        </w:rPr>
        <w:t>12.4.1、12.4.2</w:t>
      </w:r>
      <w:r>
        <w:rPr>
          <w:rFonts w:hint="eastAsia" w:ascii="宋体" w:hAnsi="宋体" w:cs="宋体"/>
          <w:b/>
          <w:bCs/>
          <w:lang w:bidi="ar"/>
        </w:rPr>
        <w:t xml:space="preserve">  </w:t>
      </w:r>
      <w:r>
        <w:rPr>
          <w:rFonts w:hint="eastAsia" w:ascii="宋体" w:hAnsi="宋体"/>
          <w:kern w:val="0"/>
          <w:lang w:bidi="ar"/>
        </w:rPr>
        <w:t>条文参考</w:t>
      </w:r>
      <w:r>
        <w:rPr>
          <w:rFonts w:ascii="宋体" w:hAnsi="宋体"/>
          <w:kern w:val="0"/>
          <w:lang w:bidi="ar"/>
        </w:rPr>
        <w:t>北京市建标</w:t>
      </w:r>
      <w:r>
        <w:rPr>
          <w:rFonts w:hint="eastAsia" w:ascii="宋体" w:hAnsi="宋体"/>
          <w:kern w:val="0"/>
          <w:lang w:bidi="ar"/>
        </w:rPr>
        <w:t>《城市公共停车场工程项目建设标准》</w:t>
      </w:r>
      <w:r>
        <w:rPr>
          <w:rFonts w:ascii="宋体" w:hAnsi="宋体"/>
          <w:kern w:val="0"/>
          <w:lang w:bidi="ar"/>
        </w:rPr>
        <w:t>建标128-2010</w:t>
      </w:r>
      <w:r>
        <w:rPr>
          <w:rFonts w:hint="eastAsia" w:ascii="宋体" w:hAnsi="宋体"/>
          <w:kern w:val="0"/>
          <w:lang w:bidi="ar"/>
        </w:rPr>
        <w:t>关于</w:t>
      </w:r>
      <w:r>
        <w:rPr>
          <w:rFonts w:ascii="宋体" w:hAnsi="宋体"/>
          <w:kern w:val="0"/>
          <w:lang w:bidi="ar"/>
        </w:rPr>
        <w:t>环境保护设施的相关规定。城市公共停车场作为城市基础设施会对其周围环境产生一定的影响;城市公共停车场距建筑物的距离应考虑安全、消防﹑噪声、震动和景观等因素,特别对其产生的噪声污染应采取有效措施加以控制,以达到环境噪声标准的要求。城市中心区域[如中央商务区(CBD)等核心区域]应采用防止光污染的相关措施,以改善城市整体景观环境。</w:t>
      </w:r>
    </w:p>
    <w:p w14:paraId="17F9DD9F">
      <w:pPr>
        <w:pStyle w:val="108"/>
        <w:numPr>
          <w:ilvl w:val="2"/>
          <w:numId w:val="36"/>
        </w:numPr>
        <w:spacing w:before="312" w:after="312"/>
        <w:outlineLvl w:val="9"/>
      </w:pPr>
      <w:r>
        <w:rPr>
          <w:rFonts w:hint="eastAsia" w:hAnsi="黑体" w:cs="黑体"/>
          <w:szCs w:val="21"/>
          <w:lang w:bidi="ar"/>
        </w:rPr>
        <w:t>交通工程设施</w:t>
      </w:r>
    </w:p>
    <w:p w14:paraId="27415C40">
      <w:pPr>
        <w:spacing w:line="240" w:lineRule="auto"/>
        <w:rPr>
          <w:rFonts w:ascii="宋体" w:hAnsi="宋体" w:cs="宋体"/>
          <w:kern w:val="0"/>
        </w:rPr>
      </w:pPr>
      <w:r>
        <w:rPr>
          <w:rFonts w:hint="eastAsia" w:ascii="黑体" w:hAnsi="黑体" w:eastAsia="黑体" w:cs="黑体"/>
          <w:lang w:bidi="ar"/>
        </w:rPr>
        <w:t xml:space="preserve">12.5.1  </w:t>
      </w:r>
      <w:r>
        <w:rPr>
          <w:rFonts w:hint="eastAsia" w:ascii="宋体" w:hAnsi="宋体" w:cs="宋体"/>
          <w:lang w:bidi="ar"/>
        </w:rPr>
        <w:t>公共停车场交通标志按照停车场的区域和功能划分为公告标志、安全标志（警告标志和禁令标志）、指示标志、指路标志和其他标志，交通标志应采用附着式安装方式，避免侵占行车与停车限界。交通标志版面形状、颜色、尺寸、构造与支持要求等应符合《道路交通标志和标线》GB 5768中的相关规定，还应符合《公共信息图形符号 第1部分：通用符号》GB/T 10001.1的相关规定。场内文字交通标志宜使用中英文对照，应符合《公共场所中文标识英文译写规范》GB 5768中的相关规定。</w:t>
      </w:r>
    </w:p>
    <w:p w14:paraId="3E354EAE">
      <w:pPr>
        <w:spacing w:line="240" w:lineRule="auto"/>
        <w:rPr>
          <w:rFonts w:ascii="宋体" w:hAnsi="宋体" w:cs="宋体"/>
        </w:rPr>
      </w:pPr>
      <w:r>
        <w:rPr>
          <w:rFonts w:hint="eastAsia" w:ascii="黑体" w:hAnsi="黑体" w:eastAsia="黑体" w:cs="黑体"/>
          <w:lang w:bidi="ar"/>
        </w:rPr>
        <w:t>12.5.2 -12.5.5</w:t>
      </w:r>
      <w:r>
        <w:rPr>
          <w:rFonts w:hint="eastAsia" w:ascii="宋体" w:hAnsi="宋体" w:cs="宋体"/>
          <w:b/>
          <w:bCs/>
          <w:lang w:bidi="ar"/>
        </w:rPr>
        <w:t xml:space="preserve">  </w:t>
      </w:r>
      <w:r>
        <w:rPr>
          <w:rFonts w:hint="eastAsia" w:ascii="宋体" w:hAnsi="宋体" w:cs="宋体"/>
          <w:lang w:bidi="ar"/>
        </w:rPr>
        <w:t>本条文参考《北京市公共停车场工程建设规范》DB11/T 595关于公共停车场的交通管理设施及交通安全设施设置要求。</w:t>
      </w:r>
    </w:p>
    <w:p w14:paraId="629E315D">
      <w:pPr>
        <w:spacing w:line="240" w:lineRule="auto"/>
        <w:rPr>
          <w:rFonts w:ascii="宋体" w:hAnsi="宋体" w:cs="宋体"/>
          <w:kern w:val="0"/>
        </w:rPr>
      </w:pPr>
      <w:r>
        <w:rPr>
          <w:rFonts w:hint="eastAsia" w:ascii="黑体" w:hAnsi="黑体" w:eastAsia="黑体" w:cs="黑体"/>
          <w:lang w:bidi="ar"/>
        </w:rPr>
        <w:t>12.5.9</w:t>
      </w:r>
      <w:r>
        <w:rPr>
          <w:rFonts w:hint="eastAsia" w:ascii="宋体" w:hAnsi="宋体" w:cs="宋体"/>
          <w:b/>
          <w:bCs/>
          <w:lang w:bidi="ar"/>
        </w:rPr>
        <w:t xml:space="preserve">  </w:t>
      </w:r>
      <w:r>
        <w:rPr>
          <w:rFonts w:hint="eastAsia" w:ascii="宋体" w:hAnsi="宋体" w:cs="宋体"/>
          <w:lang w:bidi="ar"/>
        </w:rPr>
        <w:t>本条文参考《城市停车设施建设指南（2015版）》关于停车场的防护设施设置要求。</w:t>
      </w:r>
    </w:p>
    <w:p w14:paraId="71C10114">
      <w:pPr>
        <w:pStyle w:val="26"/>
        <w:spacing w:before="312" w:beforeLines="100" w:beforeAutospacing="0" w:after="312" w:afterLines="100" w:afterAutospacing="0"/>
        <w:jc w:val="center"/>
        <w:rPr>
          <w:rFonts w:ascii="黑体" w:eastAsia="黑体" w:cs="黑体"/>
          <w:sz w:val="28"/>
          <w:szCs w:val="28"/>
          <w:lang w:bidi="ar"/>
        </w:rPr>
      </w:pPr>
    </w:p>
    <w:sectPr>
      <w:footerReference r:id="rId14" w:type="default"/>
      <w:pgSz w:w="11906" w:h="16838"/>
      <w:pgMar w:top="2410"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90B7">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EFFD">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AE36">
    <w:pPr>
      <w:pStyle w:val="56"/>
    </w:pPr>
    <w:r>
      <w:fldChar w:fldCharType="begin"/>
    </w:r>
    <w:r>
      <w:instrText xml:space="preserve">PAGE   \* MERGEFORMAT</w:instrText>
    </w:r>
    <w:r>
      <w:fldChar w:fldCharType="separate"/>
    </w:r>
    <w:r>
      <w:rPr>
        <w:lang w:val="zh-CN"/>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12525">
    <w:pPr>
      <w:pStyle w:val="56"/>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CF5379">
                          <w:pPr>
                            <w:pStyle w:val="18"/>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43CF5379">
                    <w:pPr>
                      <w:pStyle w:val="18"/>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A954B">
    <w:pPr>
      <w:pStyle w:val="18"/>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A3EEE">
                          <w:pPr>
                            <w:pStyle w:val="1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2CA3EEE">
                    <w:pPr>
                      <w:pStyle w:val="1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341A0">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27E1">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92E6">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A6705">
    <w:pPr>
      <w:pStyle w:val="65"/>
    </w:pPr>
    <w:r>
      <w:fldChar w:fldCharType="begin"/>
    </w:r>
    <w:r>
      <w:instrText xml:space="preserve"> STYLEREF  标准文件_文件编号  \* MERGEFORMAT </w:instrText>
    </w:r>
    <w:r>
      <w:fldChar w:fldCharType="separate"/>
    </w:r>
    <w:r>
      <w:t>DB3502/T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4245">
    <w:pPr>
      <w:pStyle w:val="19"/>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DB3502/T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8"/>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3"/>
      <w:suff w:val="nothing"/>
      <w:lvlText w:val="%1%2.%3　"/>
      <w:lvlJc w:val="left"/>
      <w:pPr>
        <w:ind w:left="0" w:firstLine="0"/>
      </w:pPr>
    </w:lvl>
    <w:lvl w:ilvl="3" w:tentative="0">
      <w:start w:val="1"/>
      <w:numFmt w:val="decimal"/>
      <w:pStyle w:val="122"/>
      <w:suff w:val="nothing"/>
      <w:lvlText w:val="%1%2.%3.%4　"/>
      <w:lvlJc w:val="left"/>
      <w:pPr>
        <w:ind w:left="0" w:firstLine="0"/>
      </w:pPr>
    </w:lvl>
    <w:lvl w:ilvl="4" w:tentative="0">
      <w:start w:val="1"/>
      <w:numFmt w:val="decimal"/>
      <w:pStyle w:val="157"/>
      <w:suff w:val="nothing"/>
      <w:lvlText w:val="%1%2.%3.%4.%5　"/>
      <w:lvlJc w:val="left"/>
      <w:pPr>
        <w:ind w:left="0" w:firstLine="0"/>
      </w:pPr>
    </w:lvl>
    <w:lvl w:ilvl="5" w:tentative="0">
      <w:start w:val="1"/>
      <w:numFmt w:val="decimal"/>
      <w:pStyle w:val="159"/>
      <w:suff w:val="nothing"/>
      <w:lvlText w:val="%1%2.%3.%4.%5.%6　"/>
      <w:lvlJc w:val="left"/>
      <w:pPr>
        <w:ind w:left="0" w:firstLine="0"/>
      </w:pPr>
    </w:lvl>
    <w:lvl w:ilvl="6" w:tentative="0">
      <w:start w:val="1"/>
      <w:numFmt w:val="decimal"/>
      <w:pStyle w:val="162"/>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4"/>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3"/>
      <w:lvlText w:val="%1"/>
      <w:lvlJc w:val="left"/>
      <w:pPr>
        <w:ind w:left="425" w:hanging="425"/>
      </w:pPr>
      <w:rPr>
        <w:rFonts w:hint="eastAsia"/>
      </w:rPr>
    </w:lvl>
    <w:lvl w:ilvl="1" w:tentative="0">
      <w:start w:val="1"/>
      <w:numFmt w:val="decimal"/>
      <w:pStyle w:val="204"/>
      <w:suff w:val="nothing"/>
      <w:lvlText w:val="%10.%2 "/>
      <w:lvlJc w:val="left"/>
      <w:pPr>
        <w:ind w:left="0" w:firstLine="0"/>
      </w:pPr>
      <w:rPr>
        <w:rFonts w:hint="eastAsia" w:ascii="黑体" w:eastAsia="黑体" w:hAnsiTheme="minorHAnsi"/>
        <w:b w:val="0"/>
        <w:i w:val="0"/>
        <w:sz w:val="21"/>
      </w:rPr>
    </w:lvl>
    <w:lvl w:ilvl="2" w:tentative="0">
      <w:start w:val="1"/>
      <w:numFmt w:val="decimal"/>
      <w:pStyle w:val="205"/>
      <w:suff w:val="nothing"/>
      <w:lvlText w:val="%10.%2.%3 "/>
      <w:lvlJc w:val="left"/>
      <w:pPr>
        <w:ind w:left="0" w:firstLine="0"/>
      </w:pPr>
      <w:rPr>
        <w:rFonts w:hint="eastAsia" w:ascii="黑体" w:eastAsia="黑体" w:hAnsiTheme="minorHAnsi"/>
        <w:b w:val="0"/>
        <w:i w:val="0"/>
        <w:sz w:val="21"/>
      </w:rPr>
    </w:lvl>
    <w:lvl w:ilvl="3" w:tentative="0">
      <w:start w:val="1"/>
      <w:numFmt w:val="decimal"/>
      <w:pStyle w:val="206"/>
      <w:suff w:val="nothing"/>
      <w:lvlText w:val="%10.%2.%3.%4 "/>
      <w:lvlJc w:val="left"/>
      <w:pPr>
        <w:ind w:left="0" w:firstLine="0"/>
      </w:pPr>
      <w:rPr>
        <w:rFonts w:hint="eastAsia" w:ascii="黑体" w:eastAsia="黑体" w:hAnsiTheme="minorHAnsi"/>
        <w:b w:val="0"/>
        <w:i w:val="0"/>
        <w:sz w:val="21"/>
      </w:rPr>
    </w:lvl>
    <w:lvl w:ilvl="4" w:tentative="0">
      <w:start w:val="1"/>
      <w:numFmt w:val="decimal"/>
      <w:pStyle w:val="207"/>
      <w:suff w:val="nothing"/>
      <w:lvlText w:val="%10.%2.%3.%4.%5 "/>
      <w:lvlJc w:val="left"/>
      <w:pPr>
        <w:ind w:left="0" w:firstLine="0"/>
      </w:pPr>
      <w:rPr>
        <w:rFonts w:hint="eastAsia" w:ascii="黑体" w:eastAsia="黑体" w:hAnsiTheme="minorHAnsi"/>
        <w:b w:val="0"/>
        <w:i w:val="0"/>
        <w:sz w:val="21"/>
      </w:rPr>
    </w:lvl>
    <w:lvl w:ilvl="5" w:tentative="0">
      <w:start w:val="1"/>
      <w:numFmt w:val="decimal"/>
      <w:pStyle w:val="208"/>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5"/>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71"/>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3"/>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4"/>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9"/>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6"/>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6"/>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91"/>
      <w:lvlText w:val=""/>
      <w:lvlJc w:val="left"/>
      <w:pPr>
        <w:ind w:left="851" w:hanging="431"/>
      </w:pPr>
      <w:rPr>
        <w:rFonts w:hint="default" w:ascii="Symbol" w:hAnsi="Symbol"/>
        <w:sz w:val="21"/>
      </w:rPr>
    </w:lvl>
    <w:lvl w:ilvl="2" w:tentative="0">
      <w:start w:val="1"/>
      <w:numFmt w:val="bullet"/>
      <w:pStyle w:val="176"/>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5"/>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8"/>
      <w:lvlText w:val="%1)"/>
      <w:lvlJc w:val="left"/>
      <w:pPr>
        <w:tabs>
          <w:tab w:val="left" w:pos="851"/>
        </w:tabs>
        <w:ind w:left="851" w:hanging="426"/>
      </w:pPr>
      <w:rPr>
        <w:rFonts w:hint="eastAsia" w:ascii="宋体" w:hAnsi="Times New Roman" w:eastAsia="宋体"/>
        <w:sz w:val="21"/>
      </w:rPr>
    </w:lvl>
    <w:lvl w:ilvl="1" w:tentative="0">
      <w:start w:val="1"/>
      <w:numFmt w:val="decimal"/>
      <w:pStyle w:val="113"/>
      <w:lvlText w:val="%2)"/>
      <w:lvlJc w:val="left"/>
      <w:pPr>
        <w:tabs>
          <w:tab w:val="left" w:pos="1276"/>
        </w:tabs>
        <w:ind w:left="1276" w:hanging="425"/>
      </w:pPr>
      <w:rPr>
        <w:rFonts w:hint="eastAsia" w:ascii="宋体" w:hAnsi="Times New Roman" w:eastAsia="宋体"/>
        <w:sz w:val="21"/>
      </w:rPr>
    </w:lvl>
    <w:lvl w:ilvl="2" w:tentative="0">
      <w:start w:val="1"/>
      <w:numFmt w:val="decimal"/>
      <w:pStyle w:val="121"/>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2"/>
      <w:lvlText w:val="%1"/>
      <w:lvlJc w:val="left"/>
      <w:pPr>
        <w:ind w:left="420" w:hanging="420"/>
      </w:pPr>
      <w:rPr>
        <w:rFonts w:hint="eastAsia"/>
      </w:rPr>
    </w:lvl>
    <w:lvl w:ilvl="1" w:tentative="0">
      <w:start w:val="1"/>
      <w:numFmt w:val="decimal"/>
      <w:pStyle w:val="87"/>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7"/>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20"/>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7"/>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8"/>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3"/>
      <w:suff w:val="space"/>
      <w:lvlText w:val="%1"/>
      <w:lvlJc w:val="left"/>
      <w:pPr>
        <w:ind w:left="425" w:hanging="425"/>
      </w:pPr>
      <w:rPr>
        <w:rFonts w:hint="eastAsia"/>
      </w:rPr>
    </w:lvl>
    <w:lvl w:ilvl="1" w:tentative="0">
      <w:start w:val="1"/>
      <w:numFmt w:val="decimal"/>
      <w:pStyle w:val="81"/>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5"/>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2"/>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3"/>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80"/>
      <w:suff w:val="nothing"/>
      <w:lvlText w:val="附录%1"/>
      <w:lvlJc w:val="left"/>
      <w:pPr>
        <w:ind w:left="0" w:firstLine="0"/>
      </w:pPr>
      <w:rPr>
        <w:rFonts w:hint="eastAsia"/>
        <w:spacing w:val="100"/>
      </w:rPr>
    </w:lvl>
    <w:lvl w:ilvl="1" w:tentative="0">
      <w:start w:val="1"/>
      <w:numFmt w:val="decimal"/>
      <w:pStyle w:val="82"/>
      <w:suff w:val="nothing"/>
      <w:lvlText w:val="%1.%2　"/>
      <w:lvlJc w:val="left"/>
      <w:pPr>
        <w:ind w:left="0" w:firstLine="0"/>
      </w:pPr>
      <w:rPr>
        <w:rFonts w:hint="eastAsia" w:ascii="黑体" w:eastAsia="黑体"/>
        <w:b w:val="0"/>
        <w:i w:val="0"/>
        <w:sz w:val="21"/>
      </w:rPr>
    </w:lvl>
    <w:lvl w:ilvl="2" w:tentative="0">
      <w:start w:val="1"/>
      <w:numFmt w:val="decimal"/>
      <w:pStyle w:val="83"/>
      <w:suff w:val="nothing"/>
      <w:lvlText w:val="%1.%2.%3　"/>
      <w:lvlJc w:val="left"/>
      <w:pPr>
        <w:ind w:left="0" w:firstLine="0"/>
      </w:pPr>
      <w:rPr>
        <w:rFonts w:hint="eastAsia" w:ascii="黑体" w:eastAsia="黑体"/>
        <w:b w:val="0"/>
        <w:i w:val="0"/>
        <w:sz w:val="21"/>
      </w:rPr>
    </w:lvl>
    <w:lvl w:ilvl="3" w:tentative="0">
      <w:start w:val="1"/>
      <w:numFmt w:val="decimal"/>
      <w:pStyle w:val="85"/>
      <w:suff w:val="nothing"/>
      <w:lvlText w:val="%1.%2.%3.%4　"/>
      <w:lvlJc w:val="left"/>
      <w:pPr>
        <w:ind w:left="0" w:firstLine="0"/>
      </w:pPr>
      <w:rPr>
        <w:rFonts w:hint="eastAsia" w:ascii="黑体" w:eastAsia="黑体"/>
        <w:b w:val="0"/>
        <w:i w:val="0"/>
        <w:sz w:val="21"/>
      </w:rPr>
    </w:lvl>
    <w:lvl w:ilvl="4" w:tentative="0">
      <w:start w:val="1"/>
      <w:numFmt w:val="decimal"/>
      <w:pStyle w:val="86"/>
      <w:suff w:val="nothing"/>
      <w:lvlText w:val="%1.%2.%3.%4.%5　"/>
      <w:lvlJc w:val="left"/>
      <w:pPr>
        <w:ind w:left="0" w:firstLine="0"/>
      </w:pPr>
      <w:rPr>
        <w:rFonts w:hint="eastAsia" w:ascii="黑体" w:eastAsia="黑体"/>
        <w:b w:val="0"/>
        <w:i w:val="0"/>
        <w:sz w:val="21"/>
      </w:rPr>
    </w:lvl>
    <w:lvl w:ilvl="5" w:tentative="0">
      <w:start w:val="1"/>
      <w:numFmt w:val="decimal"/>
      <w:pStyle w:val="88"/>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2"/>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101"/>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6"/>
      <w:suff w:val="nothing"/>
      <w:lvlText w:val="%1"/>
      <w:lvlJc w:val="left"/>
      <w:pPr>
        <w:ind w:left="0" w:firstLine="0"/>
      </w:pPr>
      <w:rPr>
        <w:rFonts w:hint="eastAsia"/>
      </w:rPr>
    </w:lvl>
    <w:lvl w:ilvl="1" w:tentative="0">
      <w:start w:val="1"/>
      <w:numFmt w:val="decimal"/>
      <w:pStyle w:val="108"/>
      <w:suff w:val="nothing"/>
      <w:lvlText w:val="%1%2　"/>
      <w:lvlJc w:val="left"/>
      <w:pPr>
        <w:ind w:left="0" w:firstLine="0"/>
      </w:pPr>
      <w:rPr>
        <w:rFonts w:hint="eastAsia" w:ascii="黑体" w:eastAsia="黑体"/>
        <w:b w:val="0"/>
        <w:i w:val="0"/>
        <w:sz w:val="21"/>
      </w:rPr>
    </w:lvl>
    <w:lvl w:ilvl="2" w:tentative="0">
      <w:start w:val="1"/>
      <w:numFmt w:val="decimal"/>
      <w:pStyle w:val="109"/>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9"/>
      <w:suff w:val="nothing"/>
      <w:lvlText w:val="%1%2.%3.%4　"/>
      <w:lvlJc w:val="left"/>
      <w:pPr>
        <w:ind w:left="0" w:firstLine="0"/>
      </w:pPr>
      <w:rPr>
        <w:rFonts w:hint="eastAsia" w:ascii="黑体" w:eastAsia="黑体"/>
        <w:b w:val="0"/>
        <w:i w:val="0"/>
        <w:sz w:val="21"/>
      </w:rPr>
    </w:lvl>
    <w:lvl w:ilvl="4" w:tentative="0">
      <w:start w:val="1"/>
      <w:numFmt w:val="decimal"/>
      <w:pStyle w:val="98"/>
      <w:suff w:val="nothing"/>
      <w:lvlText w:val="%1%2.%3.%4.%5　"/>
      <w:lvlJc w:val="left"/>
      <w:pPr>
        <w:ind w:left="0" w:firstLine="0"/>
      </w:pPr>
      <w:rPr>
        <w:rFonts w:hint="eastAsia" w:ascii="黑体" w:eastAsia="黑体"/>
        <w:b w:val="0"/>
        <w:i w:val="0"/>
        <w:sz w:val="21"/>
      </w:rPr>
    </w:lvl>
    <w:lvl w:ilvl="5" w:tentative="0">
      <w:start w:val="1"/>
      <w:numFmt w:val="decimal"/>
      <w:pStyle w:val="102"/>
      <w:suff w:val="nothing"/>
      <w:lvlText w:val="%1%2.%3.%4.%5.%6　"/>
      <w:lvlJc w:val="left"/>
      <w:pPr>
        <w:ind w:left="0" w:firstLine="0"/>
      </w:pPr>
      <w:rPr>
        <w:rFonts w:hint="eastAsia" w:ascii="黑体" w:eastAsia="黑体"/>
        <w:b w:val="0"/>
        <w:i w:val="0"/>
        <w:sz w:val="21"/>
      </w:rPr>
    </w:lvl>
    <w:lvl w:ilvl="6" w:tentative="0">
      <w:start w:val="1"/>
      <w:numFmt w:val="decimal"/>
      <w:pStyle w:val="107"/>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3"/>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9"/>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3"/>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1"/>
  <w:bordersDoNotSurroundFooter w:val="1"/>
  <w:documentProtection w:edit="forms"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mMzNiZTdkNjYyYzA5MzU3NDdhYmUzNTZlYmIzMGEifQ=="/>
  </w:docVars>
  <w:rsids>
    <w:rsidRoot w:val="00964AE6"/>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36709"/>
    <w:rsid w:val="0004249A"/>
    <w:rsid w:val="00043282"/>
    <w:rsid w:val="00044286"/>
    <w:rsid w:val="0004744A"/>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BFA"/>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817"/>
    <w:rsid w:val="000D4B9C"/>
    <w:rsid w:val="000D4EB6"/>
    <w:rsid w:val="000D753B"/>
    <w:rsid w:val="000E4C9E"/>
    <w:rsid w:val="000E6FD7"/>
    <w:rsid w:val="000F06E1"/>
    <w:rsid w:val="000F0D7B"/>
    <w:rsid w:val="000F0E3C"/>
    <w:rsid w:val="000F19D5"/>
    <w:rsid w:val="000F4AEA"/>
    <w:rsid w:val="000F633F"/>
    <w:rsid w:val="000F67E9"/>
    <w:rsid w:val="00104926"/>
    <w:rsid w:val="00110A1D"/>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58D4"/>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6B8"/>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9F5"/>
    <w:rsid w:val="002C1E06"/>
    <w:rsid w:val="002C1E1C"/>
    <w:rsid w:val="002C3F07"/>
    <w:rsid w:val="002C5278"/>
    <w:rsid w:val="002C7EBB"/>
    <w:rsid w:val="002D06C1"/>
    <w:rsid w:val="002D42B5"/>
    <w:rsid w:val="002D4F1A"/>
    <w:rsid w:val="002D6EC6"/>
    <w:rsid w:val="002D79AC"/>
    <w:rsid w:val="002E039D"/>
    <w:rsid w:val="002E28FA"/>
    <w:rsid w:val="002E4D5A"/>
    <w:rsid w:val="002E6326"/>
    <w:rsid w:val="002F30E0"/>
    <w:rsid w:val="002F35E4"/>
    <w:rsid w:val="002F3730"/>
    <w:rsid w:val="002F38E1"/>
    <w:rsid w:val="002F7AF6"/>
    <w:rsid w:val="00300E63"/>
    <w:rsid w:val="00302F5F"/>
    <w:rsid w:val="0030441D"/>
    <w:rsid w:val="00305A58"/>
    <w:rsid w:val="00306063"/>
    <w:rsid w:val="0031106D"/>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57D75"/>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28A0"/>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3032"/>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115"/>
    <w:rsid w:val="00485C89"/>
    <w:rsid w:val="00486BE3"/>
    <w:rsid w:val="00487581"/>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529B"/>
    <w:rsid w:val="004D7C42"/>
    <w:rsid w:val="004E0465"/>
    <w:rsid w:val="004E127B"/>
    <w:rsid w:val="004E1C0A"/>
    <w:rsid w:val="004E2B06"/>
    <w:rsid w:val="004E30C5"/>
    <w:rsid w:val="004E4AA5"/>
    <w:rsid w:val="004E4AEE"/>
    <w:rsid w:val="004E59E3"/>
    <w:rsid w:val="004E67C0"/>
    <w:rsid w:val="004F21D2"/>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040D"/>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F18"/>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5DF9"/>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0663"/>
    <w:rsid w:val="00612952"/>
    <w:rsid w:val="00614CC1"/>
    <w:rsid w:val="00615A9D"/>
    <w:rsid w:val="00617387"/>
    <w:rsid w:val="006205D6"/>
    <w:rsid w:val="0062339A"/>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4A00"/>
    <w:rsid w:val="00695D22"/>
    <w:rsid w:val="006974D5"/>
    <w:rsid w:val="006A07AA"/>
    <w:rsid w:val="006A25E5"/>
    <w:rsid w:val="006A2B46"/>
    <w:rsid w:val="006A336D"/>
    <w:rsid w:val="006A37B9"/>
    <w:rsid w:val="006B2672"/>
    <w:rsid w:val="006B54BF"/>
    <w:rsid w:val="006B5541"/>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1FAE"/>
    <w:rsid w:val="00704387"/>
    <w:rsid w:val="00707669"/>
    <w:rsid w:val="00711CBA"/>
    <w:rsid w:val="00711FB5"/>
    <w:rsid w:val="00712A01"/>
    <w:rsid w:val="00713E1B"/>
    <w:rsid w:val="00714F58"/>
    <w:rsid w:val="00722FBF"/>
    <w:rsid w:val="00722FC2"/>
    <w:rsid w:val="00724879"/>
    <w:rsid w:val="00724E1B"/>
    <w:rsid w:val="00725949"/>
    <w:rsid w:val="00727FA2"/>
    <w:rsid w:val="007322D9"/>
    <w:rsid w:val="00732A12"/>
    <w:rsid w:val="00732BC0"/>
    <w:rsid w:val="007354B0"/>
    <w:rsid w:val="0073720F"/>
    <w:rsid w:val="00737796"/>
    <w:rsid w:val="0074165C"/>
    <w:rsid w:val="00742C35"/>
    <w:rsid w:val="007432CA"/>
    <w:rsid w:val="007439EB"/>
    <w:rsid w:val="00743CB4"/>
    <w:rsid w:val="00743F0A"/>
    <w:rsid w:val="007444E8"/>
    <w:rsid w:val="0074548E"/>
    <w:rsid w:val="00745773"/>
    <w:rsid w:val="00746800"/>
    <w:rsid w:val="00746C08"/>
    <w:rsid w:val="007501A8"/>
    <w:rsid w:val="00750D61"/>
    <w:rsid w:val="00750EE1"/>
    <w:rsid w:val="0075238A"/>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160"/>
    <w:rsid w:val="007959E8"/>
    <w:rsid w:val="00795E9C"/>
    <w:rsid w:val="007A0521"/>
    <w:rsid w:val="007A2E12"/>
    <w:rsid w:val="007A3475"/>
    <w:rsid w:val="007A41C8"/>
    <w:rsid w:val="007A5109"/>
    <w:rsid w:val="007A54CE"/>
    <w:rsid w:val="007A6A9B"/>
    <w:rsid w:val="007A6FD9"/>
    <w:rsid w:val="007A7FFA"/>
    <w:rsid w:val="007B04EB"/>
    <w:rsid w:val="007B0D4F"/>
    <w:rsid w:val="007B5A3D"/>
    <w:rsid w:val="007B5B95"/>
    <w:rsid w:val="007B6084"/>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1608"/>
    <w:rsid w:val="00842A47"/>
    <w:rsid w:val="00843C13"/>
    <w:rsid w:val="008454F8"/>
    <w:rsid w:val="0085173A"/>
    <w:rsid w:val="0085270D"/>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4741D"/>
    <w:rsid w:val="00953604"/>
    <w:rsid w:val="0095496B"/>
    <w:rsid w:val="009610DC"/>
    <w:rsid w:val="00961490"/>
    <w:rsid w:val="0096381A"/>
    <w:rsid w:val="00964AE6"/>
    <w:rsid w:val="00965E04"/>
    <w:rsid w:val="009674AD"/>
    <w:rsid w:val="00970CDC"/>
    <w:rsid w:val="00977010"/>
    <w:rsid w:val="00977D02"/>
    <w:rsid w:val="009809BB"/>
    <w:rsid w:val="0098364B"/>
    <w:rsid w:val="009911AF"/>
    <w:rsid w:val="00991875"/>
    <w:rsid w:val="00991F92"/>
    <w:rsid w:val="00992985"/>
    <w:rsid w:val="00993889"/>
    <w:rsid w:val="0099551B"/>
    <w:rsid w:val="00996E28"/>
    <w:rsid w:val="00997BF1"/>
    <w:rsid w:val="009A089C"/>
    <w:rsid w:val="009A118E"/>
    <w:rsid w:val="009A21CD"/>
    <w:rsid w:val="009A278C"/>
    <w:rsid w:val="009A2BC2"/>
    <w:rsid w:val="009A3E2A"/>
    <w:rsid w:val="009A42C1"/>
    <w:rsid w:val="009A5429"/>
    <w:rsid w:val="009A72AD"/>
    <w:rsid w:val="009B09E0"/>
    <w:rsid w:val="009B0BC5"/>
    <w:rsid w:val="009B1247"/>
    <w:rsid w:val="009B6029"/>
    <w:rsid w:val="009B608D"/>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1A16"/>
    <w:rsid w:val="009F5F9A"/>
    <w:rsid w:val="009F7D3E"/>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1DB4"/>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2F"/>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1C9A"/>
    <w:rsid w:val="00AF473B"/>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1307"/>
    <w:rsid w:val="00B4346D"/>
    <w:rsid w:val="00B440F4"/>
    <w:rsid w:val="00B447A5"/>
    <w:rsid w:val="00B4546E"/>
    <w:rsid w:val="00B4654C"/>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41FF"/>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35BBD"/>
    <w:rsid w:val="00C42130"/>
    <w:rsid w:val="00C423A4"/>
    <w:rsid w:val="00C44BF5"/>
    <w:rsid w:val="00C521D6"/>
    <w:rsid w:val="00C55232"/>
    <w:rsid w:val="00C553A4"/>
    <w:rsid w:val="00C55A06"/>
    <w:rsid w:val="00C55D03"/>
    <w:rsid w:val="00C601BC"/>
    <w:rsid w:val="00C6329F"/>
    <w:rsid w:val="00C63340"/>
    <w:rsid w:val="00C64079"/>
    <w:rsid w:val="00C643F9"/>
    <w:rsid w:val="00C64E95"/>
    <w:rsid w:val="00C71372"/>
    <w:rsid w:val="00C72410"/>
    <w:rsid w:val="00C7287F"/>
    <w:rsid w:val="00C80CB8"/>
    <w:rsid w:val="00C819F8"/>
    <w:rsid w:val="00C8248C"/>
    <w:rsid w:val="00C82ADD"/>
    <w:rsid w:val="00C84E33"/>
    <w:rsid w:val="00C86D6F"/>
    <w:rsid w:val="00C905FC"/>
    <w:rsid w:val="00C92D03"/>
    <w:rsid w:val="00C9319C"/>
    <w:rsid w:val="00C9435D"/>
    <w:rsid w:val="00C94DF2"/>
    <w:rsid w:val="00C96741"/>
    <w:rsid w:val="00CA2D1B"/>
    <w:rsid w:val="00CA2E34"/>
    <w:rsid w:val="00CA375D"/>
    <w:rsid w:val="00CA662A"/>
    <w:rsid w:val="00CA6A64"/>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2C06"/>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77B55"/>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388"/>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46561"/>
    <w:rsid w:val="00E502C1"/>
    <w:rsid w:val="00E502DD"/>
    <w:rsid w:val="00E50D3A"/>
    <w:rsid w:val="00E51387"/>
    <w:rsid w:val="00E51E68"/>
    <w:rsid w:val="00E52EFD"/>
    <w:rsid w:val="00E5408A"/>
    <w:rsid w:val="00E56800"/>
    <w:rsid w:val="00E60C63"/>
    <w:rsid w:val="00E618DC"/>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051"/>
    <w:rsid w:val="00ED2B50"/>
    <w:rsid w:val="00EE0350"/>
    <w:rsid w:val="00EE0719"/>
    <w:rsid w:val="00EE0E80"/>
    <w:rsid w:val="00EE54A6"/>
    <w:rsid w:val="00EE613F"/>
    <w:rsid w:val="00EE7295"/>
    <w:rsid w:val="00EE7869"/>
    <w:rsid w:val="00EF054A"/>
    <w:rsid w:val="00EF3235"/>
    <w:rsid w:val="00EF52E8"/>
    <w:rsid w:val="00EF7E72"/>
    <w:rsid w:val="00F06D06"/>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6511"/>
    <w:rsid w:val="00F60ED3"/>
    <w:rsid w:val="00F6194E"/>
    <w:rsid w:val="00F623AC"/>
    <w:rsid w:val="00F63755"/>
    <w:rsid w:val="00F6412A"/>
    <w:rsid w:val="00F65893"/>
    <w:rsid w:val="00F66A4A"/>
    <w:rsid w:val="00F71E22"/>
    <w:rsid w:val="00F72142"/>
    <w:rsid w:val="00F72AE7"/>
    <w:rsid w:val="00F72D3D"/>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0FF0"/>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9B315A"/>
    <w:rsid w:val="023D293E"/>
    <w:rsid w:val="03FE7EF6"/>
    <w:rsid w:val="04301F01"/>
    <w:rsid w:val="045336D3"/>
    <w:rsid w:val="047C253E"/>
    <w:rsid w:val="04E761FE"/>
    <w:rsid w:val="050D39E6"/>
    <w:rsid w:val="05571F68"/>
    <w:rsid w:val="057A7C3C"/>
    <w:rsid w:val="05A57ED0"/>
    <w:rsid w:val="05D80092"/>
    <w:rsid w:val="0602276C"/>
    <w:rsid w:val="0606061B"/>
    <w:rsid w:val="067A23F4"/>
    <w:rsid w:val="07901266"/>
    <w:rsid w:val="079643A4"/>
    <w:rsid w:val="07A113DB"/>
    <w:rsid w:val="07EA67A1"/>
    <w:rsid w:val="080724EB"/>
    <w:rsid w:val="08BF0FB8"/>
    <w:rsid w:val="08C526DF"/>
    <w:rsid w:val="08CC4F3D"/>
    <w:rsid w:val="09C70838"/>
    <w:rsid w:val="0A5E78F5"/>
    <w:rsid w:val="0A956C4A"/>
    <w:rsid w:val="0ABB43EE"/>
    <w:rsid w:val="0ACE4A7B"/>
    <w:rsid w:val="0AF47541"/>
    <w:rsid w:val="0B113E82"/>
    <w:rsid w:val="0B2648C0"/>
    <w:rsid w:val="0B3709FB"/>
    <w:rsid w:val="0BB61EAD"/>
    <w:rsid w:val="0C472C3A"/>
    <w:rsid w:val="0D1A0547"/>
    <w:rsid w:val="0DD423A8"/>
    <w:rsid w:val="0DF46E8E"/>
    <w:rsid w:val="0E08495E"/>
    <w:rsid w:val="0E2A3A63"/>
    <w:rsid w:val="0E455054"/>
    <w:rsid w:val="0E8C1F3D"/>
    <w:rsid w:val="0EA03855"/>
    <w:rsid w:val="0ECC55F8"/>
    <w:rsid w:val="0EDA7883"/>
    <w:rsid w:val="0F421DA6"/>
    <w:rsid w:val="100F603B"/>
    <w:rsid w:val="10153B61"/>
    <w:rsid w:val="10AC13A7"/>
    <w:rsid w:val="10C304B2"/>
    <w:rsid w:val="10EF0934"/>
    <w:rsid w:val="12DA3EAF"/>
    <w:rsid w:val="1321580E"/>
    <w:rsid w:val="137A33A8"/>
    <w:rsid w:val="140E5EE8"/>
    <w:rsid w:val="144B00FF"/>
    <w:rsid w:val="14930BBB"/>
    <w:rsid w:val="14C03997"/>
    <w:rsid w:val="15EF7DF5"/>
    <w:rsid w:val="166D2918"/>
    <w:rsid w:val="169C76B1"/>
    <w:rsid w:val="16A9748A"/>
    <w:rsid w:val="16BB26C0"/>
    <w:rsid w:val="174D519E"/>
    <w:rsid w:val="17C81964"/>
    <w:rsid w:val="17CE3EB3"/>
    <w:rsid w:val="181077DA"/>
    <w:rsid w:val="18740FEA"/>
    <w:rsid w:val="18EF2E9C"/>
    <w:rsid w:val="19756814"/>
    <w:rsid w:val="19C32068"/>
    <w:rsid w:val="19C47AD3"/>
    <w:rsid w:val="1A91517D"/>
    <w:rsid w:val="1AA749A0"/>
    <w:rsid w:val="1B723BB0"/>
    <w:rsid w:val="1B78249E"/>
    <w:rsid w:val="1B860323"/>
    <w:rsid w:val="1B8B433C"/>
    <w:rsid w:val="1B906420"/>
    <w:rsid w:val="1BA62EAA"/>
    <w:rsid w:val="1C1D316C"/>
    <w:rsid w:val="1C450915"/>
    <w:rsid w:val="1C886977"/>
    <w:rsid w:val="1D314D7C"/>
    <w:rsid w:val="1D9E7C25"/>
    <w:rsid w:val="1E510C9D"/>
    <w:rsid w:val="1EBD054A"/>
    <w:rsid w:val="1ECC2E60"/>
    <w:rsid w:val="1F4663E4"/>
    <w:rsid w:val="1F7D3F25"/>
    <w:rsid w:val="1F9D7A5B"/>
    <w:rsid w:val="20044EB3"/>
    <w:rsid w:val="202E5DA4"/>
    <w:rsid w:val="21424794"/>
    <w:rsid w:val="214C3FE6"/>
    <w:rsid w:val="21521313"/>
    <w:rsid w:val="219127B3"/>
    <w:rsid w:val="21B0331C"/>
    <w:rsid w:val="21F12155"/>
    <w:rsid w:val="220420F2"/>
    <w:rsid w:val="22330628"/>
    <w:rsid w:val="22372AAE"/>
    <w:rsid w:val="22FF4F97"/>
    <w:rsid w:val="234164D0"/>
    <w:rsid w:val="239B12E1"/>
    <w:rsid w:val="23F55899"/>
    <w:rsid w:val="245B7C64"/>
    <w:rsid w:val="2472698B"/>
    <w:rsid w:val="25051A9F"/>
    <w:rsid w:val="251D035D"/>
    <w:rsid w:val="25762713"/>
    <w:rsid w:val="25BD4F3F"/>
    <w:rsid w:val="25C74CED"/>
    <w:rsid w:val="26862BA6"/>
    <w:rsid w:val="274673D6"/>
    <w:rsid w:val="27733B25"/>
    <w:rsid w:val="27EE4668"/>
    <w:rsid w:val="27FE6520"/>
    <w:rsid w:val="288B5776"/>
    <w:rsid w:val="289A30AD"/>
    <w:rsid w:val="28E6741A"/>
    <w:rsid w:val="28F879E0"/>
    <w:rsid w:val="2916267C"/>
    <w:rsid w:val="29262A97"/>
    <w:rsid w:val="298D2626"/>
    <w:rsid w:val="29CE4E6C"/>
    <w:rsid w:val="2A6E1C58"/>
    <w:rsid w:val="2AAF6789"/>
    <w:rsid w:val="2AB70173"/>
    <w:rsid w:val="2B732DA8"/>
    <w:rsid w:val="2C2648A7"/>
    <w:rsid w:val="2C2A5748"/>
    <w:rsid w:val="2C5B345D"/>
    <w:rsid w:val="2E043158"/>
    <w:rsid w:val="2EEB3251"/>
    <w:rsid w:val="2F4D3087"/>
    <w:rsid w:val="2F556449"/>
    <w:rsid w:val="2F6CF331"/>
    <w:rsid w:val="2FA735D3"/>
    <w:rsid w:val="2FAA1284"/>
    <w:rsid w:val="3046224B"/>
    <w:rsid w:val="30670A02"/>
    <w:rsid w:val="306E210F"/>
    <w:rsid w:val="30976184"/>
    <w:rsid w:val="30C843FA"/>
    <w:rsid w:val="313A01AA"/>
    <w:rsid w:val="315E736E"/>
    <w:rsid w:val="31974BCE"/>
    <w:rsid w:val="3199108F"/>
    <w:rsid w:val="31A9457D"/>
    <w:rsid w:val="31F86695"/>
    <w:rsid w:val="327C4070"/>
    <w:rsid w:val="32892343"/>
    <w:rsid w:val="32893C72"/>
    <w:rsid w:val="32CE1614"/>
    <w:rsid w:val="32E53DF1"/>
    <w:rsid w:val="33074E70"/>
    <w:rsid w:val="33316C94"/>
    <w:rsid w:val="33356CE0"/>
    <w:rsid w:val="336B77E1"/>
    <w:rsid w:val="337B2082"/>
    <w:rsid w:val="33E25334"/>
    <w:rsid w:val="341A6DC7"/>
    <w:rsid w:val="35336728"/>
    <w:rsid w:val="35871397"/>
    <w:rsid w:val="35BB1482"/>
    <w:rsid w:val="36483520"/>
    <w:rsid w:val="36B05289"/>
    <w:rsid w:val="375F4B72"/>
    <w:rsid w:val="378930A1"/>
    <w:rsid w:val="37FAF05F"/>
    <w:rsid w:val="384613DE"/>
    <w:rsid w:val="387F42D5"/>
    <w:rsid w:val="388C18EE"/>
    <w:rsid w:val="389546FE"/>
    <w:rsid w:val="39463AD0"/>
    <w:rsid w:val="395C355D"/>
    <w:rsid w:val="39E92BDC"/>
    <w:rsid w:val="39FD4DE8"/>
    <w:rsid w:val="3A461688"/>
    <w:rsid w:val="3AB331C1"/>
    <w:rsid w:val="3B4F31B7"/>
    <w:rsid w:val="3BA52E37"/>
    <w:rsid w:val="3BAE73FB"/>
    <w:rsid w:val="3BCF4E41"/>
    <w:rsid w:val="3BF327EA"/>
    <w:rsid w:val="3C386A9B"/>
    <w:rsid w:val="3CB90684"/>
    <w:rsid w:val="3CFC6A21"/>
    <w:rsid w:val="3D3E0D3C"/>
    <w:rsid w:val="3E584D40"/>
    <w:rsid w:val="3E887EA3"/>
    <w:rsid w:val="3F893B6B"/>
    <w:rsid w:val="3FA04F28"/>
    <w:rsid w:val="40C41BE0"/>
    <w:rsid w:val="417E670A"/>
    <w:rsid w:val="42DE0263"/>
    <w:rsid w:val="42F44186"/>
    <w:rsid w:val="433709DA"/>
    <w:rsid w:val="43B44540"/>
    <w:rsid w:val="43C8259D"/>
    <w:rsid w:val="44086D9A"/>
    <w:rsid w:val="441E5527"/>
    <w:rsid w:val="44601FD0"/>
    <w:rsid w:val="44896381"/>
    <w:rsid w:val="44BD16B4"/>
    <w:rsid w:val="45CC54E2"/>
    <w:rsid w:val="45E8257E"/>
    <w:rsid w:val="4616665F"/>
    <w:rsid w:val="465E60CB"/>
    <w:rsid w:val="47AC41C6"/>
    <w:rsid w:val="48253702"/>
    <w:rsid w:val="483B7814"/>
    <w:rsid w:val="48E8429E"/>
    <w:rsid w:val="49A07B83"/>
    <w:rsid w:val="49B121AB"/>
    <w:rsid w:val="4A327E9F"/>
    <w:rsid w:val="4A5127CE"/>
    <w:rsid w:val="4A873D23"/>
    <w:rsid w:val="4BDE2EAC"/>
    <w:rsid w:val="4BE90D9B"/>
    <w:rsid w:val="4BF55FAF"/>
    <w:rsid w:val="4C2A2270"/>
    <w:rsid w:val="4CE67ED6"/>
    <w:rsid w:val="4E243AC4"/>
    <w:rsid w:val="4F3161E0"/>
    <w:rsid w:val="4F946F14"/>
    <w:rsid w:val="4FAC0007"/>
    <w:rsid w:val="4FFC7413"/>
    <w:rsid w:val="500B2BAB"/>
    <w:rsid w:val="503E4E84"/>
    <w:rsid w:val="50487C11"/>
    <w:rsid w:val="50A140A6"/>
    <w:rsid w:val="50B11149"/>
    <w:rsid w:val="50EB38C6"/>
    <w:rsid w:val="50F773EF"/>
    <w:rsid w:val="511E6A63"/>
    <w:rsid w:val="515E42D3"/>
    <w:rsid w:val="516165EB"/>
    <w:rsid w:val="51731710"/>
    <w:rsid w:val="51CF7228"/>
    <w:rsid w:val="536B619C"/>
    <w:rsid w:val="53DA5F05"/>
    <w:rsid w:val="54A9502E"/>
    <w:rsid w:val="556578BB"/>
    <w:rsid w:val="566430C3"/>
    <w:rsid w:val="575511B9"/>
    <w:rsid w:val="57EB3FE0"/>
    <w:rsid w:val="57EDD573"/>
    <w:rsid w:val="57F05C0D"/>
    <w:rsid w:val="58033850"/>
    <w:rsid w:val="586649A7"/>
    <w:rsid w:val="58964B71"/>
    <w:rsid w:val="58FE5EBA"/>
    <w:rsid w:val="59285731"/>
    <w:rsid w:val="5946024A"/>
    <w:rsid w:val="59DC52C7"/>
    <w:rsid w:val="5A0021E9"/>
    <w:rsid w:val="5AE63904"/>
    <w:rsid w:val="5B0A3607"/>
    <w:rsid w:val="5C201D17"/>
    <w:rsid w:val="5CF93357"/>
    <w:rsid w:val="5D706898"/>
    <w:rsid w:val="5DA47D59"/>
    <w:rsid w:val="5DD63EE7"/>
    <w:rsid w:val="5DFF04E8"/>
    <w:rsid w:val="5DFF4107"/>
    <w:rsid w:val="5E4F6F11"/>
    <w:rsid w:val="5EB6652D"/>
    <w:rsid w:val="5EDB0620"/>
    <w:rsid w:val="5EFD415C"/>
    <w:rsid w:val="5F1167D9"/>
    <w:rsid w:val="5F8E2EF0"/>
    <w:rsid w:val="5FE7185C"/>
    <w:rsid w:val="5FE84D92"/>
    <w:rsid w:val="5FF51BF9"/>
    <w:rsid w:val="600C3541"/>
    <w:rsid w:val="60261102"/>
    <w:rsid w:val="60336BFF"/>
    <w:rsid w:val="60414C9C"/>
    <w:rsid w:val="60494AF2"/>
    <w:rsid w:val="60933A45"/>
    <w:rsid w:val="60CE5DB0"/>
    <w:rsid w:val="611B2376"/>
    <w:rsid w:val="614B2A43"/>
    <w:rsid w:val="61616707"/>
    <w:rsid w:val="61AE798F"/>
    <w:rsid w:val="61B911F0"/>
    <w:rsid w:val="61D8246A"/>
    <w:rsid w:val="61F05AA1"/>
    <w:rsid w:val="61F23D95"/>
    <w:rsid w:val="62140AB7"/>
    <w:rsid w:val="62E320C5"/>
    <w:rsid w:val="63362FBD"/>
    <w:rsid w:val="63444FDD"/>
    <w:rsid w:val="63D30E70"/>
    <w:rsid w:val="642510C3"/>
    <w:rsid w:val="647B7FFD"/>
    <w:rsid w:val="65A9638B"/>
    <w:rsid w:val="65F04260"/>
    <w:rsid w:val="663C632D"/>
    <w:rsid w:val="68085971"/>
    <w:rsid w:val="68E61D91"/>
    <w:rsid w:val="69677C77"/>
    <w:rsid w:val="6A62486A"/>
    <w:rsid w:val="6A9D7905"/>
    <w:rsid w:val="6AB204F0"/>
    <w:rsid w:val="6AFF2F4D"/>
    <w:rsid w:val="6B3929BF"/>
    <w:rsid w:val="6BA24659"/>
    <w:rsid w:val="6BDE232C"/>
    <w:rsid w:val="6BDF1A53"/>
    <w:rsid w:val="6BE30D1A"/>
    <w:rsid w:val="6C744A58"/>
    <w:rsid w:val="6C9102FF"/>
    <w:rsid w:val="6D1647D0"/>
    <w:rsid w:val="6D8D6DE8"/>
    <w:rsid w:val="6DA576C9"/>
    <w:rsid w:val="6E2E272B"/>
    <w:rsid w:val="6EC55B40"/>
    <w:rsid w:val="6FBF1100"/>
    <w:rsid w:val="6FC765C9"/>
    <w:rsid w:val="6FF57DB0"/>
    <w:rsid w:val="6FF81576"/>
    <w:rsid w:val="6FFFAFE0"/>
    <w:rsid w:val="70144DE9"/>
    <w:rsid w:val="70504B74"/>
    <w:rsid w:val="70AA4ED6"/>
    <w:rsid w:val="71B85C47"/>
    <w:rsid w:val="71E43970"/>
    <w:rsid w:val="71F30AAF"/>
    <w:rsid w:val="7250196D"/>
    <w:rsid w:val="734727C5"/>
    <w:rsid w:val="740704D1"/>
    <w:rsid w:val="742B44C5"/>
    <w:rsid w:val="74676A28"/>
    <w:rsid w:val="746C1F94"/>
    <w:rsid w:val="74CF6BD7"/>
    <w:rsid w:val="75315089"/>
    <w:rsid w:val="754461E9"/>
    <w:rsid w:val="759F61EF"/>
    <w:rsid w:val="75DB5308"/>
    <w:rsid w:val="75E432D2"/>
    <w:rsid w:val="77DC5234"/>
    <w:rsid w:val="77EF188D"/>
    <w:rsid w:val="78020D8B"/>
    <w:rsid w:val="783D0D34"/>
    <w:rsid w:val="786927EE"/>
    <w:rsid w:val="78727B93"/>
    <w:rsid w:val="795079A4"/>
    <w:rsid w:val="795814B0"/>
    <w:rsid w:val="797929F2"/>
    <w:rsid w:val="7A415BA3"/>
    <w:rsid w:val="7A6547CF"/>
    <w:rsid w:val="7A686510"/>
    <w:rsid w:val="7AEA7832"/>
    <w:rsid w:val="7BBDA912"/>
    <w:rsid w:val="7BD35A91"/>
    <w:rsid w:val="7BFDAEA5"/>
    <w:rsid w:val="7E0B0BF0"/>
    <w:rsid w:val="7EF05FF6"/>
    <w:rsid w:val="7F191132"/>
    <w:rsid w:val="7F58011F"/>
    <w:rsid w:val="7F665A78"/>
    <w:rsid w:val="7F834581"/>
    <w:rsid w:val="7FBF41E3"/>
    <w:rsid w:val="7FD50B2C"/>
    <w:rsid w:val="7FDA46EF"/>
    <w:rsid w:val="7FDA5C34"/>
    <w:rsid w:val="7FE25C7F"/>
    <w:rsid w:val="7FE45B1B"/>
    <w:rsid w:val="7FF30E14"/>
    <w:rsid w:val="7FF637AF"/>
    <w:rsid w:val="7FF961B5"/>
    <w:rsid w:val="B2FF8FB2"/>
    <w:rsid w:val="B5F23611"/>
    <w:rsid w:val="BDDF885A"/>
    <w:rsid w:val="CFF7BE6F"/>
    <w:rsid w:val="DA6F630F"/>
    <w:rsid w:val="DFBD647C"/>
    <w:rsid w:val="DFDF8161"/>
    <w:rsid w:val="EFE8400B"/>
    <w:rsid w:val="EFEFF756"/>
    <w:rsid w:val="F1D7D7BA"/>
    <w:rsid w:val="F77DD36E"/>
    <w:rsid w:val="FADF6352"/>
    <w:rsid w:val="FB87324B"/>
    <w:rsid w:val="FBB1579E"/>
    <w:rsid w:val="FDBE0D92"/>
    <w:rsid w:val="FE968F0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0"/>
    <w:qFormat/>
    <w:uiPriority w:val="0"/>
    <w:pPr>
      <w:keepNext/>
      <w:keepLines/>
      <w:spacing w:before="260" w:after="260" w:line="416" w:lineRule="auto"/>
      <w:outlineLvl w:val="2"/>
    </w:pPr>
    <w:rPr>
      <w:b/>
      <w:bCs/>
      <w:sz w:val="32"/>
      <w:szCs w:val="32"/>
    </w:rPr>
  </w:style>
  <w:style w:type="paragraph" w:styleId="6">
    <w:name w:val="heading 4"/>
    <w:basedOn w:val="1"/>
    <w:next w:val="1"/>
    <w:link w:val="4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2"/>
    <w:qFormat/>
    <w:uiPriority w:val="0"/>
    <w:pPr>
      <w:keepNext/>
      <w:keepLines/>
      <w:adjustRightInd/>
      <w:spacing w:before="280" w:after="290" w:line="376" w:lineRule="auto"/>
      <w:outlineLvl w:val="4"/>
    </w:pPr>
    <w:rPr>
      <w:b/>
      <w:bCs/>
      <w:sz w:val="28"/>
      <w:szCs w:val="28"/>
    </w:rPr>
  </w:style>
  <w:style w:type="paragraph" w:styleId="8">
    <w:name w:val="heading 6"/>
    <w:basedOn w:val="1"/>
    <w:next w:val="1"/>
    <w:link w:val="43"/>
    <w:qFormat/>
    <w:uiPriority w:val="0"/>
    <w:pPr>
      <w:keepNext/>
      <w:keepLines/>
      <w:adjustRightInd/>
      <w:spacing w:before="240" w:after="64" w:line="320" w:lineRule="auto"/>
      <w:outlineLvl w:val="5"/>
    </w:pPr>
    <w:rPr>
      <w:rFonts w:ascii="Arial" w:hAnsi="Arial" w:eastAsia="黑体"/>
      <w:b/>
      <w:bCs/>
      <w:sz w:val="24"/>
      <w:szCs w:val="24"/>
    </w:rPr>
  </w:style>
  <w:style w:type="paragraph" w:styleId="9">
    <w:name w:val="heading 7"/>
    <w:basedOn w:val="1"/>
    <w:next w:val="1"/>
    <w:link w:val="44"/>
    <w:qFormat/>
    <w:uiPriority w:val="0"/>
    <w:pPr>
      <w:keepNext/>
      <w:keepLines/>
      <w:adjustRightInd/>
      <w:spacing w:before="240" w:after="64" w:line="320" w:lineRule="auto"/>
      <w:outlineLvl w:val="6"/>
    </w:pPr>
    <w:rPr>
      <w:b/>
      <w:bCs/>
      <w:sz w:val="24"/>
      <w:szCs w:val="24"/>
    </w:rPr>
  </w:style>
  <w:style w:type="paragraph" w:styleId="10">
    <w:name w:val="heading 8"/>
    <w:basedOn w:val="1"/>
    <w:next w:val="1"/>
    <w:link w:val="45"/>
    <w:qFormat/>
    <w:uiPriority w:val="0"/>
    <w:pPr>
      <w:keepNext/>
      <w:keepLines/>
      <w:adjustRightInd/>
      <w:spacing w:before="240" w:after="64" w:line="320" w:lineRule="auto"/>
      <w:outlineLvl w:val="7"/>
    </w:pPr>
    <w:rPr>
      <w:rFonts w:ascii="Arial" w:hAnsi="Arial" w:eastAsia="黑体"/>
      <w:sz w:val="24"/>
      <w:szCs w:val="24"/>
    </w:rPr>
  </w:style>
  <w:style w:type="paragraph" w:styleId="11">
    <w:name w:val="heading 9"/>
    <w:basedOn w:val="1"/>
    <w:next w:val="1"/>
    <w:link w:val="46"/>
    <w:qFormat/>
    <w:uiPriority w:val="0"/>
    <w:pPr>
      <w:keepNext/>
      <w:keepLines/>
      <w:adjustRightInd/>
      <w:spacing w:before="240" w:after="64" w:line="320" w:lineRule="auto"/>
      <w:outlineLvl w:val="8"/>
    </w:pPr>
    <w:rPr>
      <w:rFonts w:ascii="Arial" w:hAnsi="Arial" w:eastAsia="黑体"/>
    </w:rPr>
  </w:style>
  <w:style w:type="character" w:default="1" w:styleId="31">
    <w:name w:val="Default Paragraph Font"/>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0"/>
    <w:qFormat/>
    <w:uiPriority w:val="0"/>
    <w:pPr>
      <w:spacing w:after="120"/>
    </w:pPr>
  </w:style>
  <w:style w:type="paragraph" w:styleId="12">
    <w:name w:val="toc 7"/>
    <w:basedOn w:val="1"/>
    <w:next w:val="1"/>
    <w:unhideWhenUsed/>
    <w:qFormat/>
    <w:uiPriority w:val="39"/>
    <w:pPr>
      <w:tabs>
        <w:tab w:val="right" w:leader="dot" w:pos="9344"/>
      </w:tabs>
      <w:spacing w:line="300" w:lineRule="exact"/>
      <w:ind w:left="1259"/>
    </w:pPr>
    <w:rPr>
      <w:rFonts w:ascii="宋体"/>
    </w:rPr>
  </w:style>
  <w:style w:type="paragraph" w:styleId="13">
    <w:name w:val="Normal Indent"/>
    <w:basedOn w:val="1"/>
    <w:qFormat/>
    <w:uiPriority w:val="0"/>
    <w:pPr>
      <w:ind w:firstLine="420"/>
    </w:pPr>
  </w:style>
  <w:style w:type="paragraph" w:styleId="14">
    <w:name w:val="annotation text"/>
    <w:basedOn w:val="1"/>
    <w:link w:val="237"/>
    <w:unhideWhenUsed/>
    <w:qFormat/>
    <w:uiPriority w:val="99"/>
    <w:pPr>
      <w:jc w:val="left"/>
    </w:pPr>
    <w:rPr>
      <w:rFonts w:hint="eastAsia" w:ascii="等线" w:hAnsi="等线" w:eastAsia="等线"/>
      <w:szCs w:val="22"/>
    </w:r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9"/>
    <w:semiHidden/>
    <w:unhideWhenUsed/>
    <w:qFormat/>
    <w:uiPriority w:val="99"/>
    <w:rPr>
      <w:sz w:val="18"/>
      <w:szCs w:val="18"/>
    </w:rPr>
  </w:style>
  <w:style w:type="paragraph" w:styleId="18">
    <w:name w:val="footer"/>
    <w:basedOn w:val="1"/>
    <w:link w:val="48"/>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7"/>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3"/>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Normal (Web)"/>
    <w:basedOn w:val="1"/>
    <w:unhideWhenUsed/>
    <w:qFormat/>
    <w:uiPriority w:val="0"/>
    <w:pPr>
      <w:widowControl/>
      <w:adjustRightInd/>
      <w:spacing w:beforeAutospacing="1" w:afterAutospacing="1" w:line="240" w:lineRule="auto"/>
      <w:jc w:val="left"/>
    </w:pPr>
    <w:rPr>
      <w:rFonts w:ascii="宋体" w:hAnsi="宋体"/>
      <w:kern w:val="0"/>
      <w:sz w:val="24"/>
      <w:szCs w:val="24"/>
    </w:rPr>
  </w:style>
  <w:style w:type="paragraph" w:styleId="27">
    <w:name w:val="Title"/>
    <w:basedOn w:val="1"/>
    <w:link w:val="52"/>
    <w:qFormat/>
    <w:uiPriority w:val="0"/>
    <w:pPr>
      <w:spacing w:before="240" w:after="60"/>
      <w:jc w:val="center"/>
      <w:outlineLvl w:val="0"/>
    </w:pPr>
    <w:rPr>
      <w:rFonts w:ascii="Arial" w:hAnsi="Arial" w:cs="Arial"/>
      <w:b/>
      <w:bCs/>
      <w:sz w:val="32"/>
      <w:szCs w:val="32"/>
    </w:rPr>
  </w:style>
  <w:style w:type="paragraph" w:styleId="28">
    <w:name w:val="annotation subject"/>
    <w:basedOn w:val="14"/>
    <w:next w:val="14"/>
    <w:link w:val="238"/>
    <w:semiHidden/>
    <w:unhideWhenUsed/>
    <w:qFormat/>
    <w:uiPriority w:val="99"/>
    <w:rPr>
      <w:rFonts w:hint="default" w:ascii="Calibri" w:hAnsi="Calibri" w:eastAsia="宋体"/>
      <w:b/>
      <w:bCs/>
      <w:szCs w:val="21"/>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qFormat/>
    <w:uiPriority w:val="22"/>
    <w:rPr>
      <w:b/>
      <w:bCs/>
    </w:rPr>
  </w:style>
  <w:style w:type="character" w:styleId="33">
    <w:name w:val="page number"/>
    <w:qFormat/>
    <w:uiPriority w:val="0"/>
    <w:rPr>
      <w:rFonts w:ascii="宋体" w:hAnsi="Times New Roman" w:eastAsia="宋体"/>
      <w:sz w:val="18"/>
    </w:rPr>
  </w:style>
  <w:style w:type="character" w:styleId="34">
    <w:name w:val="Emphasis"/>
    <w:qFormat/>
    <w:uiPriority w:val="20"/>
    <w:rPr>
      <w:i/>
      <w:iCs/>
    </w:rPr>
  </w:style>
  <w:style w:type="character" w:styleId="35">
    <w:name w:val="Hyperlink"/>
    <w:qFormat/>
    <w:uiPriority w:val="99"/>
    <w:rPr>
      <w:rFonts w:ascii="宋体" w:hAnsi="Times New Roman" w:eastAsia="宋体"/>
      <w:color w:val="auto"/>
      <w:spacing w:val="0"/>
      <w:w w:val="100"/>
      <w:position w:val="0"/>
      <w:sz w:val="21"/>
      <w:u w:val="none"/>
      <w:vertAlign w:val="baseline"/>
    </w:rPr>
  </w:style>
  <w:style w:type="character" w:styleId="36">
    <w:name w:val="annotation reference"/>
    <w:basedOn w:val="31"/>
    <w:semiHidden/>
    <w:unhideWhenUsed/>
    <w:qFormat/>
    <w:uiPriority w:val="99"/>
    <w:rPr>
      <w:sz w:val="21"/>
      <w:szCs w:val="21"/>
    </w:rPr>
  </w:style>
  <w:style w:type="character" w:styleId="37">
    <w:name w:val="footnote reference"/>
    <w:semiHidden/>
    <w:qFormat/>
    <w:uiPriority w:val="0"/>
    <w:rPr>
      <w:rFonts w:ascii="宋体" w:hAnsi="宋体" w:eastAsia="宋体" w:cs="Times New Roman"/>
      <w:spacing w:val="0"/>
      <w:sz w:val="18"/>
      <w:vertAlign w:val="superscript"/>
    </w:rPr>
  </w:style>
  <w:style w:type="character" w:customStyle="1" w:styleId="38">
    <w:name w:val="标题 1 字符"/>
    <w:link w:val="3"/>
    <w:qFormat/>
    <w:uiPriority w:val="0"/>
    <w:rPr>
      <w:rFonts w:ascii="Times New Roman" w:hAnsi="Times New Roman" w:eastAsia="宋体" w:cs="Times New Roman"/>
      <w:b/>
      <w:bCs/>
      <w:kern w:val="44"/>
      <w:sz w:val="44"/>
      <w:szCs w:val="44"/>
    </w:rPr>
  </w:style>
  <w:style w:type="character" w:customStyle="1" w:styleId="39">
    <w:name w:val="标题 2 字符"/>
    <w:link w:val="4"/>
    <w:qFormat/>
    <w:uiPriority w:val="0"/>
    <w:rPr>
      <w:rFonts w:ascii="Arial" w:hAnsi="Arial" w:eastAsia="黑体" w:cs="Times New Roman"/>
      <w:b/>
      <w:bCs/>
      <w:sz w:val="32"/>
      <w:szCs w:val="32"/>
    </w:rPr>
  </w:style>
  <w:style w:type="character" w:customStyle="1" w:styleId="40">
    <w:name w:val="标题 3 字符"/>
    <w:link w:val="5"/>
    <w:qFormat/>
    <w:uiPriority w:val="0"/>
    <w:rPr>
      <w:rFonts w:ascii="Times New Roman" w:hAnsi="Times New Roman" w:eastAsia="宋体" w:cs="Times New Roman"/>
      <w:b/>
      <w:bCs/>
      <w:sz w:val="32"/>
      <w:szCs w:val="32"/>
    </w:rPr>
  </w:style>
  <w:style w:type="character" w:customStyle="1" w:styleId="41">
    <w:name w:val="标题 4 字符"/>
    <w:link w:val="6"/>
    <w:qFormat/>
    <w:uiPriority w:val="0"/>
    <w:rPr>
      <w:rFonts w:ascii="Arial" w:hAnsi="Arial" w:eastAsia="黑体" w:cs="Times New Roman"/>
      <w:b/>
      <w:bCs/>
      <w:sz w:val="28"/>
      <w:szCs w:val="28"/>
    </w:rPr>
  </w:style>
  <w:style w:type="character" w:customStyle="1" w:styleId="42">
    <w:name w:val="标题 5 字符"/>
    <w:link w:val="7"/>
    <w:qFormat/>
    <w:uiPriority w:val="0"/>
    <w:rPr>
      <w:rFonts w:ascii="Times New Roman" w:hAnsi="Times New Roman" w:eastAsia="宋体" w:cs="Times New Roman"/>
      <w:b/>
      <w:bCs/>
      <w:sz w:val="28"/>
      <w:szCs w:val="28"/>
    </w:rPr>
  </w:style>
  <w:style w:type="character" w:customStyle="1" w:styleId="43">
    <w:name w:val="标题 6 字符"/>
    <w:link w:val="8"/>
    <w:qFormat/>
    <w:uiPriority w:val="0"/>
    <w:rPr>
      <w:rFonts w:ascii="Arial" w:hAnsi="Arial" w:eastAsia="黑体" w:cs="Times New Roman"/>
      <w:b/>
      <w:bCs/>
      <w:sz w:val="24"/>
      <w:szCs w:val="24"/>
    </w:rPr>
  </w:style>
  <w:style w:type="character" w:customStyle="1" w:styleId="44">
    <w:name w:val="标题 7 字符"/>
    <w:link w:val="9"/>
    <w:qFormat/>
    <w:uiPriority w:val="0"/>
    <w:rPr>
      <w:rFonts w:ascii="Times New Roman" w:hAnsi="Times New Roman" w:eastAsia="宋体" w:cs="Times New Roman"/>
      <w:b/>
      <w:bCs/>
      <w:sz w:val="24"/>
      <w:szCs w:val="24"/>
    </w:rPr>
  </w:style>
  <w:style w:type="character" w:customStyle="1" w:styleId="45">
    <w:name w:val="标题 8 字符"/>
    <w:link w:val="10"/>
    <w:qFormat/>
    <w:uiPriority w:val="0"/>
    <w:rPr>
      <w:rFonts w:ascii="Arial" w:hAnsi="Arial" w:eastAsia="黑体" w:cs="Times New Roman"/>
      <w:sz w:val="24"/>
      <w:szCs w:val="24"/>
    </w:rPr>
  </w:style>
  <w:style w:type="character" w:customStyle="1" w:styleId="46">
    <w:name w:val="标题 9 字符"/>
    <w:link w:val="11"/>
    <w:qFormat/>
    <w:uiPriority w:val="0"/>
    <w:rPr>
      <w:rFonts w:ascii="Arial" w:hAnsi="Arial" w:eastAsia="黑体" w:cs="Times New Roman"/>
      <w:szCs w:val="21"/>
    </w:rPr>
  </w:style>
  <w:style w:type="character" w:customStyle="1" w:styleId="47">
    <w:name w:val="页眉 字符"/>
    <w:link w:val="19"/>
    <w:qFormat/>
    <w:uiPriority w:val="99"/>
    <w:rPr>
      <w:rFonts w:ascii="Times New Roman" w:hAnsi="Times New Roman" w:eastAsia="宋体" w:cs="Times New Roman"/>
      <w:sz w:val="18"/>
      <w:szCs w:val="18"/>
    </w:rPr>
  </w:style>
  <w:style w:type="character" w:customStyle="1" w:styleId="48">
    <w:name w:val="页脚 字符"/>
    <w:link w:val="18"/>
    <w:qFormat/>
    <w:uiPriority w:val="99"/>
    <w:rPr>
      <w:rFonts w:ascii="宋体" w:hAnsi="Times New Roman" w:eastAsia="宋体" w:cs="Times New Roman"/>
      <w:sz w:val="18"/>
      <w:szCs w:val="18"/>
    </w:rPr>
  </w:style>
  <w:style w:type="character" w:customStyle="1" w:styleId="49">
    <w:name w:val="批注框文本 字符"/>
    <w:link w:val="17"/>
    <w:semiHidden/>
    <w:qFormat/>
    <w:uiPriority w:val="99"/>
    <w:rPr>
      <w:sz w:val="18"/>
      <w:szCs w:val="18"/>
    </w:rPr>
  </w:style>
  <w:style w:type="paragraph" w:styleId="50">
    <w:name w:val="Quote"/>
    <w:basedOn w:val="1"/>
    <w:next w:val="1"/>
    <w:link w:val="51"/>
    <w:qFormat/>
    <w:uiPriority w:val="29"/>
    <w:rPr>
      <w:i/>
      <w:iCs/>
      <w:color w:val="000000"/>
    </w:rPr>
  </w:style>
  <w:style w:type="character" w:customStyle="1" w:styleId="51">
    <w:name w:val="引用 字符"/>
    <w:link w:val="50"/>
    <w:qFormat/>
    <w:uiPriority w:val="29"/>
    <w:rPr>
      <w:i/>
      <w:iCs/>
      <w:color w:val="000000"/>
    </w:rPr>
  </w:style>
  <w:style w:type="character" w:customStyle="1" w:styleId="52">
    <w:name w:val="标题 字符"/>
    <w:link w:val="27"/>
    <w:qFormat/>
    <w:uiPriority w:val="0"/>
    <w:rPr>
      <w:rFonts w:ascii="Arial" w:hAnsi="Arial" w:eastAsia="宋体" w:cs="Arial"/>
      <w:b/>
      <w:bCs/>
      <w:sz w:val="32"/>
      <w:szCs w:val="32"/>
    </w:rPr>
  </w:style>
  <w:style w:type="paragraph" w:customStyle="1" w:styleId="5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4">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5">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6">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7">
    <w:name w:val="标准书眉一"/>
    <w:qFormat/>
    <w:uiPriority w:val="0"/>
    <w:pPr>
      <w:jc w:val="both"/>
    </w:pPr>
    <w:rPr>
      <w:rFonts w:ascii="Times New Roman" w:hAnsi="Times New Roman" w:eastAsia="宋体" w:cs="Times New Roman"/>
      <w:lang w:val="en-US" w:eastAsia="zh-CN" w:bidi="ar-SA"/>
    </w:rPr>
  </w:style>
  <w:style w:type="paragraph" w:customStyle="1" w:styleId="58">
    <w:name w:val="标准文件_ICS"/>
    <w:basedOn w:val="1"/>
    <w:qFormat/>
    <w:uiPriority w:val="0"/>
    <w:pPr>
      <w:spacing w:line="0" w:lineRule="atLeast"/>
    </w:pPr>
    <w:rPr>
      <w:rFonts w:ascii="黑体" w:hAnsi="宋体" w:eastAsia="黑体"/>
    </w:rPr>
  </w:style>
  <w:style w:type="paragraph" w:customStyle="1" w:styleId="59">
    <w:name w:val="标准文件_标准正文"/>
    <w:basedOn w:val="1"/>
    <w:next w:val="60"/>
    <w:link w:val="235"/>
    <w:qFormat/>
    <w:uiPriority w:val="0"/>
    <w:pPr>
      <w:snapToGrid w:val="0"/>
      <w:ind w:firstLine="200" w:firstLineChars="200"/>
    </w:pPr>
    <w:rPr>
      <w:kern w:val="0"/>
    </w:rPr>
  </w:style>
  <w:style w:type="paragraph" w:customStyle="1" w:styleId="60">
    <w:name w:val="标准文件_段"/>
    <w:link w:val="188"/>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标准文件_版本"/>
    <w:basedOn w:val="59"/>
    <w:link w:val="234"/>
    <w:qFormat/>
    <w:uiPriority w:val="0"/>
    <w:pPr>
      <w:adjustRightInd/>
      <w:snapToGrid/>
      <w:ind w:firstLine="0" w:firstLineChars="0"/>
    </w:pPr>
    <w:rPr>
      <w:rFonts w:ascii="宋体" w:hAnsi="宋体"/>
      <w:kern w:val="2"/>
    </w:rPr>
  </w:style>
  <w:style w:type="paragraph" w:customStyle="1" w:styleId="62">
    <w:name w:val="标准文件_标准部门"/>
    <w:basedOn w:val="1"/>
    <w:qFormat/>
    <w:uiPriority w:val="0"/>
    <w:pPr>
      <w:jc w:val="center"/>
    </w:pPr>
    <w:rPr>
      <w:rFonts w:ascii="黑体" w:eastAsia="黑体"/>
      <w:kern w:val="0"/>
      <w:sz w:val="44"/>
    </w:rPr>
  </w:style>
  <w:style w:type="paragraph" w:customStyle="1" w:styleId="63">
    <w:name w:val="标准文件_标准代替"/>
    <w:basedOn w:val="1"/>
    <w:next w:val="1"/>
    <w:qFormat/>
    <w:uiPriority w:val="0"/>
    <w:pPr>
      <w:spacing w:line="310" w:lineRule="exact"/>
      <w:jc w:val="right"/>
    </w:pPr>
    <w:rPr>
      <w:rFonts w:ascii="宋体" w:hAnsi="宋体"/>
      <w:kern w:val="0"/>
    </w:rPr>
  </w:style>
  <w:style w:type="paragraph" w:customStyle="1" w:styleId="64">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5">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6">
    <w:name w:val="标准文件_页眉偶数页"/>
    <w:basedOn w:val="65"/>
    <w:next w:val="1"/>
    <w:qFormat/>
    <w:uiPriority w:val="0"/>
    <w:pPr>
      <w:jc w:val="left"/>
    </w:pPr>
  </w:style>
  <w:style w:type="paragraph" w:customStyle="1" w:styleId="67">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8">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9">
    <w:name w:val="标准文件_二级条标题"/>
    <w:next w:val="60"/>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70">
    <w:name w:val="标准文件_发布"/>
    <w:qFormat/>
    <w:uiPriority w:val="0"/>
    <w:rPr>
      <w:rFonts w:ascii="黑体" w:eastAsia="黑体"/>
      <w:spacing w:val="0"/>
      <w:w w:val="100"/>
      <w:position w:val="3"/>
      <w:sz w:val="28"/>
    </w:rPr>
  </w:style>
  <w:style w:type="paragraph" w:customStyle="1" w:styleId="71">
    <w:name w:val="标准文件_方框数字列项"/>
    <w:basedOn w:val="60"/>
    <w:qFormat/>
    <w:uiPriority w:val="0"/>
    <w:pPr>
      <w:numPr>
        <w:ilvl w:val="0"/>
        <w:numId w:val="3"/>
      </w:numPr>
      <w:ind w:firstLine="0" w:firstLineChars="0"/>
    </w:pPr>
  </w:style>
  <w:style w:type="paragraph" w:customStyle="1" w:styleId="72">
    <w:name w:val="标准文件_封面标准编号"/>
    <w:basedOn w:val="1"/>
    <w:next w:val="63"/>
    <w:qFormat/>
    <w:uiPriority w:val="0"/>
    <w:pPr>
      <w:spacing w:line="310" w:lineRule="exact"/>
      <w:jc w:val="right"/>
    </w:pPr>
    <w:rPr>
      <w:rFonts w:ascii="黑体" w:eastAsia="黑体"/>
      <w:kern w:val="0"/>
      <w:sz w:val="28"/>
    </w:rPr>
  </w:style>
  <w:style w:type="paragraph" w:customStyle="1" w:styleId="73">
    <w:name w:val="标准文件_封面标准分类号"/>
    <w:basedOn w:val="1"/>
    <w:qFormat/>
    <w:uiPriority w:val="0"/>
    <w:rPr>
      <w:rFonts w:ascii="黑体" w:eastAsia="黑体"/>
      <w:b/>
      <w:kern w:val="0"/>
      <w:sz w:val="28"/>
    </w:rPr>
  </w:style>
  <w:style w:type="paragraph" w:customStyle="1" w:styleId="74">
    <w:name w:val="标准文件_封面标准名称"/>
    <w:basedOn w:val="1"/>
    <w:qFormat/>
    <w:uiPriority w:val="0"/>
    <w:pPr>
      <w:spacing w:line="240" w:lineRule="auto"/>
      <w:jc w:val="center"/>
    </w:pPr>
    <w:rPr>
      <w:rFonts w:ascii="黑体" w:eastAsia="黑体"/>
      <w:kern w:val="0"/>
      <w:sz w:val="52"/>
    </w:rPr>
  </w:style>
  <w:style w:type="paragraph" w:customStyle="1" w:styleId="75">
    <w:name w:val="标准文件_封面标准英文名称"/>
    <w:basedOn w:val="1"/>
    <w:qFormat/>
    <w:uiPriority w:val="0"/>
    <w:pPr>
      <w:spacing w:line="240" w:lineRule="auto"/>
      <w:jc w:val="center"/>
    </w:pPr>
    <w:rPr>
      <w:rFonts w:ascii="黑体" w:eastAsia="黑体"/>
      <w:b/>
      <w:sz w:val="28"/>
    </w:rPr>
  </w:style>
  <w:style w:type="paragraph" w:customStyle="1" w:styleId="76">
    <w:name w:val="标准文件_封面发布日期"/>
    <w:basedOn w:val="1"/>
    <w:qFormat/>
    <w:uiPriority w:val="0"/>
    <w:pPr>
      <w:spacing w:line="310" w:lineRule="exact"/>
    </w:pPr>
    <w:rPr>
      <w:rFonts w:ascii="黑体" w:eastAsia="黑体"/>
      <w:kern w:val="0"/>
      <w:sz w:val="28"/>
    </w:rPr>
  </w:style>
  <w:style w:type="paragraph" w:customStyle="1" w:styleId="77">
    <w:name w:val="标准文件_封面密级"/>
    <w:basedOn w:val="1"/>
    <w:qFormat/>
    <w:uiPriority w:val="0"/>
    <w:rPr>
      <w:rFonts w:eastAsia="黑体"/>
      <w:sz w:val="32"/>
    </w:rPr>
  </w:style>
  <w:style w:type="paragraph" w:customStyle="1" w:styleId="78">
    <w:name w:val="标准文件_封面实施日期"/>
    <w:basedOn w:val="1"/>
    <w:qFormat/>
    <w:uiPriority w:val="0"/>
    <w:pPr>
      <w:spacing w:line="310" w:lineRule="exact"/>
      <w:jc w:val="right"/>
    </w:pPr>
    <w:rPr>
      <w:rFonts w:ascii="黑体" w:eastAsia="黑体"/>
      <w:sz w:val="28"/>
    </w:rPr>
  </w:style>
  <w:style w:type="paragraph" w:customStyle="1" w:styleId="79">
    <w:name w:val="标准文件_封面抬头"/>
    <w:basedOn w:val="60"/>
    <w:qFormat/>
    <w:uiPriority w:val="0"/>
    <w:pPr>
      <w:adjustRightInd w:val="0"/>
      <w:spacing w:line="800" w:lineRule="exact"/>
      <w:ind w:firstLine="0" w:firstLineChars="0"/>
      <w:jc w:val="distribute"/>
    </w:pPr>
    <w:rPr>
      <w:rFonts w:ascii="黑体" w:eastAsia="黑体"/>
      <w:b/>
      <w:sz w:val="64"/>
    </w:rPr>
  </w:style>
  <w:style w:type="paragraph" w:customStyle="1" w:styleId="80">
    <w:name w:val="标准文件_附录标识"/>
    <w:next w:val="60"/>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81">
    <w:name w:val="标准文件_附录表标题"/>
    <w:next w:val="60"/>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2">
    <w:name w:val="标准文件_附录一级条标题"/>
    <w:next w:val="60"/>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3">
    <w:name w:val="标准文件_附录二级条标题"/>
    <w:basedOn w:val="82"/>
    <w:next w:val="60"/>
    <w:qFormat/>
    <w:uiPriority w:val="0"/>
    <w:pPr>
      <w:widowControl/>
      <w:numPr>
        <w:ilvl w:val="2"/>
      </w:numPr>
      <w:wordWrap w:val="0"/>
      <w:overflowPunct w:val="0"/>
      <w:autoSpaceDE w:val="0"/>
      <w:autoSpaceDN w:val="0"/>
      <w:textAlignment w:val="baseline"/>
      <w:outlineLvl w:val="3"/>
    </w:pPr>
  </w:style>
  <w:style w:type="paragraph" w:customStyle="1" w:styleId="84">
    <w:name w:val="标准文件_附录公式"/>
    <w:basedOn w:val="59"/>
    <w:next w:val="59"/>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5">
    <w:name w:val="标准文件_附录三级条标题"/>
    <w:next w:val="60"/>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6">
    <w:name w:val="标准文件_附录四级条标题"/>
    <w:next w:val="60"/>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7">
    <w:name w:val="标准文件_附录图标题"/>
    <w:next w:val="60"/>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8">
    <w:name w:val="标准文件_附录五级条标题"/>
    <w:next w:val="60"/>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9">
    <w:name w:val="标准文件_附录英文标识"/>
    <w:next w:val="2"/>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90">
    <w:name w:val="正文文本 字符"/>
    <w:link w:val="2"/>
    <w:qFormat/>
    <w:uiPriority w:val="0"/>
    <w:rPr>
      <w:rFonts w:ascii="Times New Roman" w:hAnsi="Times New Roman" w:eastAsia="宋体" w:cs="Times New Roman"/>
      <w:szCs w:val="20"/>
    </w:rPr>
  </w:style>
  <w:style w:type="paragraph" w:customStyle="1" w:styleId="91">
    <w:name w:val="标准文件_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2">
    <w:name w:val="标准文件_公式后的破折号"/>
    <w:basedOn w:val="60"/>
    <w:next w:val="60"/>
    <w:qFormat/>
    <w:uiPriority w:val="0"/>
    <w:pPr>
      <w:ind w:left="488" w:leftChars="200" w:hanging="289" w:hangingChars="290"/>
    </w:pPr>
  </w:style>
  <w:style w:type="paragraph" w:customStyle="1" w:styleId="93">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4">
    <w:name w:val="标准文件_目次、标准名称标题"/>
    <w:basedOn w:val="93"/>
    <w:next w:val="60"/>
    <w:qFormat/>
    <w:uiPriority w:val="0"/>
    <w:pPr>
      <w:spacing w:line="460" w:lineRule="exact"/>
    </w:pPr>
  </w:style>
  <w:style w:type="paragraph" w:customStyle="1" w:styleId="95">
    <w:name w:val="标准文件_目录标题"/>
    <w:basedOn w:val="1"/>
    <w:qFormat/>
    <w:uiPriority w:val="0"/>
    <w:pPr>
      <w:spacing w:after="150" w:afterLines="150" w:line="240" w:lineRule="auto"/>
      <w:jc w:val="center"/>
    </w:pPr>
    <w:rPr>
      <w:rFonts w:ascii="黑体" w:eastAsia="黑体"/>
      <w:sz w:val="32"/>
    </w:rPr>
  </w:style>
  <w:style w:type="paragraph" w:customStyle="1" w:styleId="96">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7">
    <w:name w:val="标准文件_破折号列项（二级）"/>
    <w:basedOn w:val="96"/>
    <w:qFormat/>
    <w:uiPriority w:val="0"/>
    <w:pPr>
      <w:numPr>
        <w:numId w:val="10"/>
      </w:numPr>
      <w:ind w:left="0" w:firstLine="200"/>
    </w:pPr>
  </w:style>
  <w:style w:type="paragraph" w:customStyle="1" w:styleId="98">
    <w:name w:val="标准文件_三级条标题"/>
    <w:basedOn w:val="69"/>
    <w:next w:val="60"/>
    <w:qFormat/>
    <w:uiPriority w:val="0"/>
    <w:pPr>
      <w:widowControl/>
      <w:numPr>
        <w:ilvl w:val="4"/>
      </w:numPr>
      <w:outlineLvl w:val="3"/>
    </w:pPr>
  </w:style>
  <w:style w:type="character" w:customStyle="1" w:styleId="99">
    <w:name w:val="不明显参考1"/>
    <w:qFormat/>
    <w:uiPriority w:val="31"/>
    <w:rPr>
      <w:smallCaps/>
      <w:color w:val="C0504D"/>
      <w:u w:val="single"/>
    </w:rPr>
  </w:style>
  <w:style w:type="paragraph" w:customStyle="1" w:styleId="100">
    <w:name w:val="标准文件_示例后续"/>
    <w:basedOn w:val="1"/>
    <w:qFormat/>
    <w:uiPriority w:val="0"/>
    <w:pPr>
      <w:adjustRightInd/>
      <w:spacing w:line="240" w:lineRule="auto"/>
      <w:ind w:firstLine="200" w:firstLineChars="200"/>
    </w:pPr>
    <w:rPr>
      <w:sz w:val="18"/>
      <w:szCs w:val="24"/>
    </w:rPr>
  </w:style>
  <w:style w:type="paragraph" w:customStyle="1" w:styleId="101">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2">
    <w:name w:val="标准文件_四级条标题"/>
    <w:next w:val="60"/>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3">
    <w:name w:val="脚注文本 字符"/>
    <w:link w:val="22"/>
    <w:semiHidden/>
    <w:qFormat/>
    <w:uiPriority w:val="0"/>
    <w:rPr>
      <w:rFonts w:ascii="宋体" w:hAnsi="Times New Roman" w:eastAsia="宋体" w:cs="Times New Roman"/>
      <w:sz w:val="18"/>
      <w:szCs w:val="18"/>
    </w:rPr>
  </w:style>
  <w:style w:type="paragraph" w:customStyle="1" w:styleId="104">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5">
    <w:name w:val="标准文件_图表脚注"/>
    <w:basedOn w:val="1"/>
    <w:next w:val="60"/>
    <w:qFormat/>
    <w:uiPriority w:val="0"/>
    <w:pPr>
      <w:numPr>
        <w:ilvl w:val="0"/>
        <w:numId w:val="12"/>
      </w:numPr>
      <w:spacing w:line="240" w:lineRule="auto"/>
      <w:jc w:val="left"/>
    </w:pPr>
    <w:rPr>
      <w:rFonts w:ascii="宋体" w:hAnsi="宋体"/>
      <w:sz w:val="18"/>
    </w:rPr>
  </w:style>
  <w:style w:type="character" w:customStyle="1" w:styleId="106">
    <w:name w:val="标准文件_图表脚注内容"/>
    <w:qFormat/>
    <w:uiPriority w:val="0"/>
    <w:rPr>
      <w:rFonts w:ascii="宋体" w:hAnsi="宋体" w:eastAsia="宋体" w:cs="Times New Roman"/>
      <w:spacing w:val="0"/>
      <w:sz w:val="18"/>
      <w:vertAlign w:val="superscript"/>
    </w:rPr>
  </w:style>
  <w:style w:type="paragraph" w:customStyle="1" w:styleId="107">
    <w:name w:val="标准文件_五级条标题"/>
    <w:next w:val="60"/>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8">
    <w:name w:val="标准文件_章标题"/>
    <w:next w:val="1"/>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9">
    <w:name w:val="标准文件_一级条标题"/>
    <w:basedOn w:val="108"/>
    <w:next w:val="60"/>
    <w:qFormat/>
    <w:uiPriority w:val="0"/>
    <w:pPr>
      <w:numPr>
        <w:ilvl w:val="2"/>
      </w:numPr>
      <w:spacing w:before="50" w:beforeLines="50" w:after="50" w:afterLines="50"/>
      <w:outlineLvl w:val="1"/>
    </w:pPr>
  </w:style>
  <w:style w:type="paragraph" w:customStyle="1" w:styleId="110">
    <w:name w:val="标准文件_一致程度"/>
    <w:basedOn w:val="1"/>
    <w:qFormat/>
    <w:uiPriority w:val="0"/>
    <w:pPr>
      <w:spacing w:line="440" w:lineRule="exact"/>
      <w:jc w:val="center"/>
    </w:pPr>
    <w:rPr>
      <w:sz w:val="28"/>
    </w:rPr>
  </w:style>
  <w:style w:type="paragraph" w:customStyle="1" w:styleId="111">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2">
    <w:name w:val="标准文件_英文图表脚注"/>
    <w:basedOn w:val="59"/>
    <w:qFormat/>
    <w:uiPriority w:val="0"/>
    <w:pPr>
      <w:widowControl/>
      <w:adjustRightInd/>
      <w:snapToGrid/>
      <w:spacing w:line="240" w:lineRule="auto"/>
      <w:ind w:left="79" w:hanging="79" w:hangingChars="80"/>
    </w:pPr>
    <w:rPr>
      <w:rFonts w:ascii="宋体" w:hAnsi="宋体"/>
    </w:rPr>
  </w:style>
  <w:style w:type="paragraph" w:customStyle="1" w:styleId="113">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4">
    <w:name w:val="标准文件_英文注："/>
    <w:basedOn w:val="1"/>
    <w:next w:val="60"/>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5">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6">
    <w:name w:val="标准文件_正文表标题"/>
    <w:next w:val="60"/>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公式"/>
    <w:basedOn w:val="1"/>
    <w:next w:val="59"/>
    <w:qFormat/>
    <w:uiPriority w:val="0"/>
    <w:pPr>
      <w:tabs>
        <w:tab w:val="center" w:pos="4678"/>
        <w:tab w:val="right" w:leader="middleDot" w:pos="9356"/>
      </w:tabs>
      <w:spacing w:line="240" w:lineRule="auto"/>
    </w:pPr>
    <w:rPr>
      <w:rFonts w:ascii="宋体" w:hAnsi="宋体"/>
    </w:rPr>
  </w:style>
  <w:style w:type="paragraph" w:customStyle="1" w:styleId="118">
    <w:name w:val="标准文件_正文图标题"/>
    <w:next w:val="60"/>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9">
    <w:name w:val="标准文件_正文英文表标题"/>
    <w:next w:val="60"/>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20">
    <w:name w:val="标准文件_正文英文图标题"/>
    <w:next w:val="60"/>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21">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2">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3">
    <w:name w:val="发布部门"/>
    <w:next w:val="60"/>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4">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5">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6">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8">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9">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30">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31">
    <w:name w:val="封面正文"/>
    <w:qFormat/>
    <w:uiPriority w:val="0"/>
    <w:pPr>
      <w:jc w:val="both"/>
    </w:pPr>
    <w:rPr>
      <w:rFonts w:ascii="Times New Roman" w:hAnsi="Times New Roman" w:eastAsia="宋体" w:cs="Times New Roman"/>
      <w:lang w:val="en-US" w:eastAsia="zh-CN" w:bidi="ar-SA"/>
    </w:rPr>
  </w:style>
  <w:style w:type="paragraph" w:customStyle="1" w:styleId="132">
    <w:name w:val="附录二级无标题条"/>
    <w:basedOn w:val="1"/>
    <w:next w:val="60"/>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3">
    <w:name w:val="附录三级无标题条"/>
    <w:basedOn w:val="132"/>
    <w:next w:val="60"/>
    <w:qFormat/>
    <w:uiPriority w:val="0"/>
    <w:pPr>
      <w:outlineLvl w:val="4"/>
    </w:pPr>
  </w:style>
  <w:style w:type="paragraph" w:customStyle="1" w:styleId="134">
    <w:name w:val="附录四级无标题条"/>
    <w:basedOn w:val="133"/>
    <w:next w:val="60"/>
    <w:qFormat/>
    <w:uiPriority w:val="0"/>
    <w:pPr>
      <w:outlineLvl w:val="5"/>
    </w:pPr>
  </w:style>
  <w:style w:type="paragraph" w:customStyle="1" w:styleId="135">
    <w:name w:val="附录图"/>
    <w:next w:val="60"/>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6">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7">
    <w:name w:val="附录五级无标题条"/>
    <w:basedOn w:val="134"/>
    <w:next w:val="60"/>
    <w:qFormat/>
    <w:uiPriority w:val="0"/>
    <w:pPr>
      <w:outlineLvl w:val="6"/>
    </w:pPr>
  </w:style>
  <w:style w:type="paragraph" w:customStyle="1" w:styleId="138">
    <w:name w:val="附录性质"/>
    <w:basedOn w:val="1"/>
    <w:qFormat/>
    <w:uiPriority w:val="0"/>
    <w:pPr>
      <w:widowControl/>
      <w:adjustRightInd/>
      <w:jc w:val="center"/>
    </w:pPr>
    <w:rPr>
      <w:rFonts w:ascii="黑体" w:eastAsia="黑体"/>
    </w:rPr>
  </w:style>
  <w:style w:type="paragraph" w:customStyle="1" w:styleId="139">
    <w:name w:val="附录一级无标题条"/>
    <w:basedOn w:val="91"/>
    <w:next w:val="60"/>
    <w:qFormat/>
    <w:uiPriority w:val="0"/>
    <w:pPr>
      <w:autoSpaceDN w:val="0"/>
      <w:outlineLvl w:val="2"/>
    </w:pPr>
    <w:rPr>
      <w:rFonts w:ascii="宋体" w:hAnsi="宋体" w:eastAsia="宋体"/>
    </w:rPr>
  </w:style>
  <w:style w:type="character" w:customStyle="1" w:styleId="140">
    <w:name w:val="个人答复风格"/>
    <w:qFormat/>
    <w:uiPriority w:val="0"/>
    <w:rPr>
      <w:rFonts w:ascii="Arial" w:hAnsi="Arial" w:eastAsia="宋体" w:cs="Arial"/>
      <w:color w:val="auto"/>
      <w:spacing w:val="0"/>
      <w:sz w:val="20"/>
    </w:rPr>
  </w:style>
  <w:style w:type="character" w:customStyle="1" w:styleId="141">
    <w:name w:val="个人撰写风格"/>
    <w:qFormat/>
    <w:uiPriority w:val="0"/>
    <w:rPr>
      <w:rFonts w:ascii="Arial" w:hAnsi="Arial" w:eastAsia="宋体" w:cs="Arial"/>
      <w:color w:val="auto"/>
      <w:spacing w:val="0"/>
      <w:sz w:val="20"/>
    </w:rPr>
  </w:style>
  <w:style w:type="paragraph" w:customStyle="1" w:styleId="142">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3">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4">
    <w:name w:val="列项·"/>
    <w:basedOn w:val="60"/>
    <w:qFormat/>
    <w:uiPriority w:val="0"/>
    <w:pPr>
      <w:tabs>
        <w:tab w:val="left" w:pos="840"/>
      </w:tabs>
    </w:pPr>
  </w:style>
  <w:style w:type="paragraph" w:customStyle="1" w:styleId="145">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6">
    <w:name w:val="目录 21"/>
    <w:basedOn w:val="1"/>
    <w:next w:val="1"/>
    <w:semiHidden/>
    <w:qFormat/>
    <w:uiPriority w:val="0"/>
    <w:pPr>
      <w:adjustRightInd/>
      <w:spacing w:line="240" w:lineRule="auto"/>
      <w:jc w:val="left"/>
    </w:pPr>
    <w:rPr>
      <w:bCs/>
      <w:iCs/>
    </w:rPr>
  </w:style>
  <w:style w:type="paragraph" w:customStyle="1" w:styleId="147">
    <w:name w:val="目录 31"/>
    <w:basedOn w:val="1"/>
    <w:next w:val="1"/>
    <w:semiHidden/>
    <w:qFormat/>
    <w:uiPriority w:val="0"/>
    <w:pPr>
      <w:spacing w:line="240" w:lineRule="auto"/>
    </w:pPr>
    <w:rPr>
      <w:rFonts w:ascii="宋体" w:hAnsi="宋体"/>
      <w:iCs/>
    </w:rPr>
  </w:style>
  <w:style w:type="paragraph" w:customStyle="1" w:styleId="148">
    <w:name w:val="目录 41"/>
    <w:basedOn w:val="1"/>
    <w:next w:val="1"/>
    <w:semiHidden/>
    <w:qFormat/>
    <w:uiPriority w:val="0"/>
    <w:pPr>
      <w:adjustRightInd/>
      <w:spacing w:line="240" w:lineRule="auto"/>
      <w:jc w:val="left"/>
    </w:pPr>
  </w:style>
  <w:style w:type="paragraph" w:customStyle="1" w:styleId="149">
    <w:name w:val="目录 51"/>
    <w:basedOn w:val="1"/>
    <w:next w:val="1"/>
    <w:semiHidden/>
    <w:qFormat/>
    <w:uiPriority w:val="0"/>
    <w:pPr>
      <w:spacing w:line="240" w:lineRule="auto"/>
    </w:pPr>
    <w:rPr>
      <w:rFonts w:ascii="宋体" w:hAnsi="宋体"/>
    </w:rPr>
  </w:style>
  <w:style w:type="paragraph" w:customStyle="1" w:styleId="150">
    <w:name w:val="目录 61"/>
    <w:basedOn w:val="1"/>
    <w:next w:val="1"/>
    <w:semiHidden/>
    <w:qFormat/>
    <w:uiPriority w:val="0"/>
    <w:pPr>
      <w:adjustRightInd/>
      <w:spacing w:line="240" w:lineRule="auto"/>
      <w:jc w:val="left"/>
    </w:pPr>
  </w:style>
  <w:style w:type="paragraph" w:customStyle="1" w:styleId="151">
    <w:name w:val="目录 71"/>
    <w:basedOn w:val="150"/>
    <w:semiHidden/>
    <w:qFormat/>
    <w:uiPriority w:val="0"/>
    <w:pPr>
      <w:ind w:left="1260"/>
    </w:pPr>
  </w:style>
  <w:style w:type="paragraph" w:customStyle="1" w:styleId="152">
    <w:name w:val="目录 81"/>
    <w:basedOn w:val="151"/>
    <w:semiHidden/>
    <w:qFormat/>
    <w:uiPriority w:val="0"/>
    <w:pPr>
      <w:ind w:left="1470"/>
    </w:pPr>
  </w:style>
  <w:style w:type="paragraph" w:customStyle="1" w:styleId="153">
    <w:name w:val="目录 91"/>
    <w:basedOn w:val="152"/>
    <w:semiHidden/>
    <w:qFormat/>
    <w:uiPriority w:val="0"/>
    <w:pPr>
      <w:ind w:left="1680"/>
    </w:pPr>
  </w:style>
  <w:style w:type="paragraph" w:customStyle="1" w:styleId="154">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5">
    <w:name w:val="其他发布部门"/>
    <w:basedOn w:val="123"/>
    <w:qFormat/>
    <w:uiPriority w:val="0"/>
    <w:pPr>
      <w:framePr w:wrap="around"/>
      <w:spacing w:line="0" w:lineRule="atLeast"/>
    </w:pPr>
    <w:rPr>
      <w:rFonts w:ascii="黑体" w:eastAsia="黑体"/>
      <w:b w:val="0"/>
    </w:rPr>
  </w:style>
  <w:style w:type="paragraph" w:customStyle="1" w:styleId="156">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7">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8">
    <w:name w:val="实施日期"/>
    <w:basedOn w:val="124"/>
    <w:qFormat/>
    <w:uiPriority w:val="0"/>
    <w:pPr>
      <w:framePr w:hSpace="0" w:wrap="around" w:xAlign="right"/>
      <w:jc w:val="right"/>
    </w:pPr>
  </w:style>
  <w:style w:type="paragraph" w:customStyle="1" w:styleId="159">
    <w:name w:val="四级无标题条"/>
    <w:basedOn w:val="1"/>
    <w:qFormat/>
    <w:uiPriority w:val="0"/>
    <w:pPr>
      <w:numPr>
        <w:ilvl w:val="5"/>
        <w:numId w:val="20"/>
      </w:numPr>
      <w:adjustRightInd/>
      <w:spacing w:line="240" w:lineRule="auto"/>
    </w:pPr>
    <w:rPr>
      <w:rFonts w:ascii="宋体" w:hAnsi="宋体"/>
      <w:szCs w:val="24"/>
    </w:rPr>
  </w:style>
  <w:style w:type="paragraph" w:customStyle="1" w:styleId="16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61">
    <w:name w:val="无标题条"/>
    <w:next w:val="60"/>
    <w:qFormat/>
    <w:uiPriority w:val="0"/>
    <w:pPr>
      <w:jc w:val="both"/>
    </w:pPr>
    <w:rPr>
      <w:rFonts w:ascii="宋体" w:hAnsi="宋体" w:eastAsia="宋体" w:cs="Times New Roman"/>
      <w:sz w:val="21"/>
      <w:lang w:val="en-US" w:eastAsia="zh-CN" w:bidi="ar-SA"/>
    </w:rPr>
  </w:style>
  <w:style w:type="paragraph" w:customStyle="1" w:styleId="162">
    <w:name w:val="五级无标题条"/>
    <w:basedOn w:val="1"/>
    <w:qFormat/>
    <w:uiPriority w:val="0"/>
    <w:pPr>
      <w:numPr>
        <w:ilvl w:val="6"/>
        <w:numId w:val="20"/>
      </w:numPr>
      <w:adjustRightInd/>
    </w:pPr>
    <w:rPr>
      <w:szCs w:val="24"/>
    </w:rPr>
  </w:style>
  <w:style w:type="paragraph" w:customStyle="1" w:styleId="163">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4">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5">
    <w:name w:val="注×:后续"/>
    <w:basedOn w:val="164"/>
    <w:qFormat/>
    <w:uiPriority w:val="0"/>
    <w:pPr>
      <w:ind w:left="1406" w:leftChars="0" w:hanging="499" w:firstLineChars="0"/>
    </w:pPr>
  </w:style>
  <w:style w:type="paragraph" w:customStyle="1" w:styleId="166">
    <w:name w:val="标准文件_一级无标题"/>
    <w:basedOn w:val="109"/>
    <w:qFormat/>
    <w:uiPriority w:val="0"/>
    <w:pPr>
      <w:spacing w:before="0" w:beforeLines="0" w:after="0" w:afterLines="0"/>
      <w:outlineLvl w:val="9"/>
    </w:pPr>
    <w:rPr>
      <w:rFonts w:ascii="宋体" w:eastAsia="宋体"/>
    </w:rPr>
  </w:style>
  <w:style w:type="paragraph" w:customStyle="1" w:styleId="167">
    <w:name w:val="标准文件_五级无标题"/>
    <w:basedOn w:val="107"/>
    <w:qFormat/>
    <w:uiPriority w:val="0"/>
    <w:pPr>
      <w:spacing w:before="0" w:beforeLines="0" w:after="0" w:afterLines="0"/>
      <w:outlineLvl w:val="9"/>
    </w:pPr>
    <w:rPr>
      <w:rFonts w:ascii="宋体" w:eastAsia="宋体"/>
    </w:rPr>
  </w:style>
  <w:style w:type="paragraph" w:customStyle="1" w:styleId="168">
    <w:name w:val="标准文件_三级无标题"/>
    <w:basedOn w:val="98"/>
    <w:qFormat/>
    <w:uiPriority w:val="0"/>
    <w:pPr>
      <w:spacing w:before="0" w:beforeLines="0" w:after="0" w:afterLines="0"/>
      <w:outlineLvl w:val="9"/>
    </w:pPr>
    <w:rPr>
      <w:rFonts w:ascii="宋体" w:eastAsia="宋体"/>
    </w:rPr>
  </w:style>
  <w:style w:type="paragraph" w:customStyle="1" w:styleId="169">
    <w:name w:val="标准文件_二级无标题"/>
    <w:basedOn w:val="69"/>
    <w:qFormat/>
    <w:uiPriority w:val="0"/>
    <w:pPr>
      <w:spacing w:before="0" w:beforeLines="0" w:after="0" w:afterLines="0"/>
      <w:outlineLvl w:val="9"/>
    </w:pPr>
    <w:rPr>
      <w:rFonts w:ascii="宋体" w:eastAsia="宋体"/>
    </w:rPr>
  </w:style>
  <w:style w:type="paragraph" w:customStyle="1" w:styleId="170">
    <w:name w:val="标准_四级无标题"/>
    <w:basedOn w:val="102"/>
    <w:next w:val="60"/>
    <w:qFormat/>
    <w:uiPriority w:val="0"/>
    <w:rPr>
      <w:rFonts w:eastAsia="宋体"/>
    </w:rPr>
  </w:style>
  <w:style w:type="paragraph" w:customStyle="1" w:styleId="171">
    <w:name w:val="标准文件_四级无标题"/>
    <w:basedOn w:val="102"/>
    <w:qFormat/>
    <w:uiPriority w:val="0"/>
    <w:pPr>
      <w:spacing w:before="0" w:beforeLines="0" w:after="0" w:afterLines="0"/>
      <w:outlineLvl w:val="9"/>
    </w:pPr>
    <w:rPr>
      <w:rFonts w:ascii="宋体" w:hAnsi="黑体" w:eastAsia="宋体"/>
      <w:szCs w:val="52"/>
    </w:rPr>
  </w:style>
  <w:style w:type="paragraph" w:customStyle="1" w:styleId="172">
    <w:name w:val="标准文件_大写罗马数字编号列项"/>
    <w:basedOn w:val="60"/>
    <w:qFormat/>
    <w:uiPriority w:val="0"/>
    <w:pPr>
      <w:numPr>
        <w:ilvl w:val="0"/>
        <w:numId w:val="23"/>
      </w:numPr>
      <w:ind w:firstLine="0" w:firstLineChars="0"/>
    </w:pPr>
    <w:rPr>
      <w:rFonts w:ascii="Times New Roman" w:cs="Arial"/>
      <w:szCs w:val="28"/>
    </w:rPr>
  </w:style>
  <w:style w:type="paragraph" w:customStyle="1" w:styleId="173">
    <w:name w:val="标准文件_小写罗马数字编号列项"/>
    <w:basedOn w:val="60"/>
    <w:qFormat/>
    <w:uiPriority w:val="0"/>
    <w:pPr>
      <w:numPr>
        <w:ilvl w:val="0"/>
        <w:numId w:val="24"/>
      </w:numPr>
      <w:ind w:firstLine="0" w:firstLineChars="0"/>
    </w:pPr>
    <w:rPr>
      <w:rFonts w:cs="Arial"/>
      <w:szCs w:val="28"/>
    </w:rPr>
  </w:style>
  <w:style w:type="paragraph" w:customStyle="1" w:styleId="174">
    <w:name w:val="标准文件_附录标题"/>
    <w:basedOn w:val="80"/>
    <w:qFormat/>
    <w:uiPriority w:val="0"/>
    <w:pPr>
      <w:numPr>
        <w:numId w:val="0"/>
      </w:numPr>
      <w:spacing w:after="280"/>
      <w:outlineLvl w:val="9"/>
    </w:pPr>
  </w:style>
  <w:style w:type="paragraph" w:customStyle="1" w:styleId="175">
    <w:name w:val="标准文件_二级项"/>
    <w:qFormat/>
    <w:uiPriority w:val="0"/>
    <w:rPr>
      <w:rFonts w:ascii="宋体" w:hAnsi="Times New Roman" w:eastAsia="宋体" w:cs="Times New Roman"/>
      <w:sz w:val="21"/>
      <w:lang w:val="en-US" w:eastAsia="zh-CN" w:bidi="ar-SA"/>
    </w:rPr>
  </w:style>
  <w:style w:type="paragraph" w:customStyle="1" w:styleId="176">
    <w:name w:val="标准文件_三级项"/>
    <w:basedOn w:val="1"/>
    <w:qFormat/>
    <w:uiPriority w:val="0"/>
    <w:pPr>
      <w:numPr>
        <w:ilvl w:val="2"/>
        <w:numId w:val="21"/>
      </w:numPr>
      <w:spacing w:line="536870612" w:lineRule="auto"/>
    </w:pPr>
    <w:rPr>
      <w:rFonts w:ascii="Times New Roman" w:hAnsi="Times New Roman"/>
    </w:rPr>
  </w:style>
  <w:style w:type="paragraph" w:customStyle="1" w:styleId="177">
    <w:name w:val="图表脚注说明"/>
    <w:basedOn w:val="1"/>
    <w:next w:val="60"/>
    <w:qFormat/>
    <w:uiPriority w:val="0"/>
    <w:pPr>
      <w:numPr>
        <w:ilvl w:val="0"/>
        <w:numId w:val="25"/>
      </w:numPr>
      <w:adjustRightInd/>
      <w:spacing w:line="240" w:lineRule="auto"/>
      <w:ind w:left="783"/>
    </w:pPr>
    <w:rPr>
      <w:rFonts w:ascii="宋体" w:hAnsi="Times New Roman"/>
      <w:sz w:val="18"/>
      <w:szCs w:val="18"/>
    </w:rPr>
  </w:style>
  <w:style w:type="paragraph" w:customStyle="1" w:styleId="178">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9">
    <w:name w:val="标准文件_索引字母"/>
    <w:next w:val="60"/>
    <w:qFormat/>
    <w:uiPriority w:val="0"/>
    <w:pPr>
      <w:jc w:val="center"/>
    </w:pPr>
    <w:rPr>
      <w:rFonts w:ascii="宋体" w:hAnsi="宋体" w:eastAsia="Times New Roman" w:cs="Times New Roman"/>
      <w:b/>
      <w:kern w:val="2"/>
      <w:sz w:val="21"/>
      <w:lang w:val="en-US" w:eastAsia="zh-CN" w:bidi="ar-SA"/>
    </w:rPr>
  </w:style>
  <w:style w:type="paragraph" w:customStyle="1" w:styleId="180">
    <w:name w:val="标准文件_附录前"/>
    <w:next w:val="60"/>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81">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2">
    <w:name w:val="标准文件_表格"/>
    <w:basedOn w:val="60"/>
    <w:qFormat/>
    <w:uiPriority w:val="0"/>
    <w:pPr>
      <w:ind w:firstLine="0" w:firstLineChars="0"/>
      <w:jc w:val="center"/>
    </w:pPr>
    <w:rPr>
      <w:sz w:val="18"/>
    </w:rPr>
  </w:style>
  <w:style w:type="paragraph" w:customStyle="1" w:styleId="183">
    <w:name w:val="标准文件_注："/>
    <w:next w:val="60"/>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4">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5">
    <w:name w:val="标准文件_示例："/>
    <w:next w:val="186"/>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6">
    <w:name w:val="标准文件_示例内容"/>
    <w:basedOn w:val="60"/>
    <w:qFormat/>
    <w:uiPriority w:val="0"/>
    <w:pPr>
      <w:ind w:firstLine="420"/>
    </w:pPr>
    <w:rPr>
      <w:sz w:val="18"/>
    </w:rPr>
  </w:style>
  <w:style w:type="paragraph" w:customStyle="1" w:styleId="187">
    <w:name w:val="标准文件_示例×："/>
    <w:basedOn w:val="1"/>
    <w:next w:val="186"/>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8">
    <w:name w:val="标准文件_段 Char"/>
    <w:link w:val="60"/>
    <w:qFormat/>
    <w:uiPriority w:val="0"/>
    <w:rPr>
      <w:rFonts w:ascii="宋体" w:hAnsi="Times New Roman"/>
      <w:sz w:val="21"/>
    </w:rPr>
  </w:style>
  <w:style w:type="paragraph" w:customStyle="1" w:styleId="189">
    <w:name w:val="标准文件_表格续"/>
    <w:basedOn w:val="60"/>
    <w:next w:val="60"/>
    <w:qFormat/>
    <w:uiPriority w:val="0"/>
    <w:pPr>
      <w:jc w:val="center"/>
    </w:pPr>
    <w:rPr>
      <w:rFonts w:ascii="黑体" w:hAnsi="黑体" w:eastAsia="黑体"/>
    </w:rPr>
  </w:style>
  <w:style w:type="character" w:styleId="190">
    <w:name w:val="Placeholder Text"/>
    <w:basedOn w:val="31"/>
    <w:semiHidden/>
    <w:qFormat/>
    <w:uiPriority w:val="99"/>
    <w:rPr>
      <w:color w:val="808080"/>
    </w:rPr>
  </w:style>
  <w:style w:type="paragraph" w:customStyle="1" w:styleId="191">
    <w:name w:val="标准文件_二级项2"/>
    <w:basedOn w:val="60"/>
    <w:qFormat/>
    <w:uiPriority w:val="0"/>
    <w:pPr>
      <w:numPr>
        <w:ilvl w:val="1"/>
        <w:numId w:val="21"/>
      </w:numPr>
      <w:ind w:left="1271" w:hanging="420" w:firstLineChars="0"/>
    </w:pPr>
  </w:style>
  <w:style w:type="paragraph" w:customStyle="1" w:styleId="192">
    <w:name w:val="标准文件_三级项2"/>
    <w:basedOn w:val="60"/>
    <w:qFormat/>
    <w:uiPriority w:val="0"/>
    <w:pPr>
      <w:numPr>
        <w:ilvl w:val="0"/>
        <w:numId w:val="30"/>
      </w:numPr>
      <w:spacing w:line="300" w:lineRule="exact"/>
      <w:ind w:left="1276" w:hanging="425" w:firstLineChars="0"/>
    </w:pPr>
    <w:rPr>
      <w:rFonts w:ascii="Times New Roman"/>
    </w:rPr>
  </w:style>
  <w:style w:type="paragraph" w:customStyle="1" w:styleId="193">
    <w:name w:val="标准文件_一级项2"/>
    <w:basedOn w:val="60"/>
    <w:qFormat/>
    <w:uiPriority w:val="0"/>
    <w:pPr>
      <w:numPr>
        <w:ilvl w:val="0"/>
        <w:numId w:val="31"/>
      </w:numPr>
      <w:spacing w:line="300" w:lineRule="exact"/>
      <w:ind w:left="1271" w:hanging="420" w:firstLineChars="0"/>
    </w:pPr>
    <w:rPr>
      <w:rFonts w:ascii="Times New Roman"/>
    </w:rPr>
  </w:style>
  <w:style w:type="paragraph" w:customStyle="1" w:styleId="194">
    <w:name w:val="标准文件_提示"/>
    <w:basedOn w:val="60"/>
    <w:next w:val="60"/>
    <w:qFormat/>
    <w:uiPriority w:val="0"/>
    <w:pPr>
      <w:ind w:firstLine="420"/>
    </w:pPr>
    <w:rPr>
      <w:rFonts w:ascii="黑体" w:eastAsia="黑体"/>
    </w:rPr>
  </w:style>
  <w:style w:type="character" w:customStyle="1" w:styleId="195">
    <w:name w:val="标准文件_来源"/>
    <w:basedOn w:val="31"/>
    <w:qFormat/>
    <w:uiPriority w:val="1"/>
    <w:rPr>
      <w:rFonts w:eastAsia="宋体"/>
      <w:sz w:val="21"/>
    </w:rPr>
  </w:style>
  <w:style w:type="paragraph" w:customStyle="1" w:styleId="196">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7">
    <w:name w:val="其他发布日期"/>
    <w:basedOn w:val="124"/>
    <w:qFormat/>
    <w:uiPriority w:val="0"/>
    <w:pPr>
      <w:framePr w:w="3997" w:h="471" w:hRule="exact" w:hSpace="0" w:vSpace="181" w:wrap="around" w:vAnchor="page" w:hAnchor="page" w:x="1419" w:y="14097"/>
    </w:pPr>
  </w:style>
  <w:style w:type="paragraph" w:customStyle="1" w:styleId="198">
    <w:name w:val="其他实施日期"/>
    <w:basedOn w:val="158"/>
    <w:qFormat/>
    <w:uiPriority w:val="0"/>
    <w:pPr>
      <w:framePr w:w="3997" w:h="471" w:hRule="exact" w:vSpace="181" w:wrap="around" w:vAnchor="page" w:hAnchor="page" w:x="7089" w:y="14097"/>
    </w:pPr>
  </w:style>
  <w:style w:type="paragraph" w:customStyle="1" w:styleId="199">
    <w:name w:val="标准文件_文件编号"/>
    <w:basedOn w:val="60"/>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200">
    <w:name w:val="标准文件_替换文件编号"/>
    <w:basedOn w:val="199"/>
    <w:qFormat/>
    <w:uiPriority w:val="0"/>
    <w:pPr>
      <w:framePr w:wrap="around"/>
      <w:spacing w:before="57"/>
    </w:pPr>
    <w:rPr>
      <w:sz w:val="21"/>
    </w:rPr>
  </w:style>
  <w:style w:type="paragraph" w:customStyle="1" w:styleId="201">
    <w:name w:val="标准文件_文件名称"/>
    <w:basedOn w:val="60"/>
    <w:next w:val="60"/>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2">
    <w:name w:val="标准文件_附录图标号"/>
    <w:basedOn w:val="60"/>
    <w:next w:val="60"/>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3">
    <w:name w:val="标准文件_附录表标号"/>
    <w:basedOn w:val="60"/>
    <w:next w:val="60"/>
    <w:qFormat/>
    <w:uiPriority w:val="0"/>
    <w:pPr>
      <w:numPr>
        <w:ilvl w:val="0"/>
        <w:numId w:val="5"/>
      </w:numPr>
      <w:spacing w:line="14" w:lineRule="exact"/>
      <w:ind w:firstLine="0" w:firstLineChars="0"/>
      <w:jc w:val="center"/>
    </w:pPr>
    <w:rPr>
      <w:rFonts w:eastAsia="黑体"/>
      <w:vanish/>
      <w:sz w:val="2"/>
    </w:rPr>
  </w:style>
  <w:style w:type="paragraph" w:customStyle="1" w:styleId="204">
    <w:name w:val="标准文件_引言一级条标题"/>
    <w:basedOn w:val="60"/>
    <w:next w:val="60"/>
    <w:qFormat/>
    <w:uiPriority w:val="0"/>
    <w:pPr>
      <w:numPr>
        <w:ilvl w:val="1"/>
        <w:numId w:val="8"/>
      </w:numPr>
      <w:spacing w:before="50" w:beforeLines="50" w:after="50" w:afterLines="50"/>
      <w:ind w:firstLineChars="0"/>
    </w:pPr>
    <w:rPr>
      <w:rFonts w:ascii="黑体" w:eastAsia="黑体"/>
    </w:rPr>
  </w:style>
  <w:style w:type="paragraph" w:customStyle="1" w:styleId="205">
    <w:name w:val="标准文件_引言二级条标题"/>
    <w:basedOn w:val="60"/>
    <w:next w:val="60"/>
    <w:qFormat/>
    <w:uiPriority w:val="0"/>
    <w:pPr>
      <w:numPr>
        <w:ilvl w:val="2"/>
        <w:numId w:val="8"/>
      </w:numPr>
      <w:spacing w:before="50" w:beforeLines="50" w:after="50" w:afterLines="50"/>
      <w:ind w:firstLineChars="0"/>
    </w:pPr>
    <w:rPr>
      <w:rFonts w:ascii="黑体" w:eastAsia="黑体"/>
    </w:rPr>
  </w:style>
  <w:style w:type="paragraph" w:customStyle="1" w:styleId="206">
    <w:name w:val="标准文件_引言三级条标题"/>
    <w:basedOn w:val="60"/>
    <w:next w:val="60"/>
    <w:qFormat/>
    <w:uiPriority w:val="0"/>
    <w:pPr>
      <w:numPr>
        <w:ilvl w:val="3"/>
        <w:numId w:val="8"/>
      </w:numPr>
      <w:spacing w:before="50" w:beforeLines="50" w:after="50" w:afterLines="50"/>
      <w:ind w:firstLineChars="0"/>
    </w:pPr>
    <w:rPr>
      <w:rFonts w:ascii="黑体" w:eastAsia="黑体"/>
    </w:rPr>
  </w:style>
  <w:style w:type="paragraph" w:customStyle="1" w:styleId="207">
    <w:name w:val="标准文件_引言四级条标题"/>
    <w:basedOn w:val="60"/>
    <w:next w:val="60"/>
    <w:qFormat/>
    <w:uiPriority w:val="0"/>
    <w:pPr>
      <w:numPr>
        <w:ilvl w:val="4"/>
        <w:numId w:val="8"/>
      </w:numPr>
      <w:spacing w:before="50" w:beforeLines="50" w:after="50" w:afterLines="50"/>
      <w:ind w:firstLineChars="0"/>
    </w:pPr>
    <w:rPr>
      <w:rFonts w:ascii="黑体" w:eastAsia="黑体"/>
    </w:rPr>
  </w:style>
  <w:style w:type="paragraph" w:customStyle="1" w:styleId="208">
    <w:name w:val="标准文件_引言五级条标题"/>
    <w:basedOn w:val="60"/>
    <w:next w:val="60"/>
    <w:qFormat/>
    <w:uiPriority w:val="0"/>
    <w:pPr>
      <w:numPr>
        <w:ilvl w:val="5"/>
        <w:numId w:val="8"/>
      </w:numPr>
      <w:spacing w:before="50" w:beforeLines="50" w:after="50" w:afterLines="50"/>
      <w:ind w:firstLineChars="0"/>
    </w:pPr>
    <w:rPr>
      <w:rFonts w:ascii="黑体" w:eastAsia="黑体"/>
    </w:rPr>
  </w:style>
  <w:style w:type="paragraph" w:customStyle="1" w:styleId="209">
    <w:name w:val="标准文件_注后"/>
    <w:basedOn w:val="60"/>
    <w:qFormat/>
    <w:uiPriority w:val="0"/>
    <w:pPr>
      <w:ind w:left="811" w:firstLine="0" w:firstLineChars="0"/>
    </w:pPr>
    <w:rPr>
      <w:sz w:val="18"/>
    </w:rPr>
  </w:style>
  <w:style w:type="paragraph" w:customStyle="1" w:styleId="210">
    <w:name w:val="标准文件_注X后"/>
    <w:basedOn w:val="60"/>
    <w:qFormat/>
    <w:uiPriority w:val="0"/>
    <w:pPr>
      <w:ind w:left="811" w:firstLine="0" w:firstLineChars="0"/>
    </w:pPr>
    <w:rPr>
      <w:sz w:val="18"/>
    </w:rPr>
  </w:style>
  <w:style w:type="paragraph" w:customStyle="1" w:styleId="211">
    <w:name w:val="标准文件_示例后"/>
    <w:basedOn w:val="60"/>
    <w:qFormat/>
    <w:uiPriority w:val="0"/>
    <w:pPr>
      <w:ind w:left="964" w:firstLine="0" w:firstLineChars="0"/>
    </w:pPr>
    <w:rPr>
      <w:sz w:val="18"/>
    </w:rPr>
  </w:style>
  <w:style w:type="paragraph" w:customStyle="1" w:styleId="212">
    <w:name w:val="标准文件_示例X后"/>
    <w:basedOn w:val="60"/>
    <w:link w:val="213"/>
    <w:qFormat/>
    <w:uiPriority w:val="0"/>
    <w:pPr>
      <w:ind w:left="1049" w:firstLine="0" w:firstLineChars="0"/>
    </w:pPr>
    <w:rPr>
      <w:sz w:val="18"/>
    </w:rPr>
  </w:style>
  <w:style w:type="character" w:customStyle="1" w:styleId="213">
    <w:name w:val="标准文件_示例X后 字符"/>
    <w:basedOn w:val="188"/>
    <w:link w:val="212"/>
    <w:qFormat/>
    <w:uiPriority w:val="0"/>
    <w:rPr>
      <w:rFonts w:ascii="宋体" w:hAnsi="Times New Roman"/>
      <w:sz w:val="18"/>
    </w:rPr>
  </w:style>
  <w:style w:type="paragraph" w:customStyle="1" w:styleId="214">
    <w:name w:val="标准文件_索引项"/>
    <w:basedOn w:val="60"/>
    <w:next w:val="60"/>
    <w:qFormat/>
    <w:uiPriority w:val="0"/>
    <w:pPr>
      <w:tabs>
        <w:tab w:val="right" w:leader="dot" w:pos="9356"/>
      </w:tabs>
      <w:ind w:left="210" w:hanging="210" w:firstLineChars="0"/>
      <w:jc w:val="left"/>
    </w:pPr>
  </w:style>
  <w:style w:type="paragraph" w:customStyle="1" w:styleId="215">
    <w:name w:val="标准文件_附录一级无标题"/>
    <w:basedOn w:val="82"/>
    <w:qFormat/>
    <w:uiPriority w:val="0"/>
    <w:pPr>
      <w:spacing w:before="0" w:beforeLines="0" w:after="0" w:afterLines="0" w:line="276" w:lineRule="auto"/>
      <w:outlineLvl w:val="9"/>
    </w:pPr>
    <w:rPr>
      <w:rFonts w:ascii="宋体" w:eastAsia="宋体"/>
    </w:rPr>
  </w:style>
  <w:style w:type="paragraph" w:customStyle="1" w:styleId="216">
    <w:name w:val="标准文件_附录二级无标题"/>
    <w:basedOn w:val="83"/>
    <w:qFormat/>
    <w:uiPriority w:val="0"/>
    <w:pPr>
      <w:spacing w:before="0" w:beforeLines="0" w:after="0" w:afterLines="0" w:line="276" w:lineRule="auto"/>
      <w:outlineLvl w:val="9"/>
    </w:pPr>
    <w:rPr>
      <w:rFonts w:ascii="宋体" w:eastAsia="宋体"/>
    </w:rPr>
  </w:style>
  <w:style w:type="paragraph" w:customStyle="1" w:styleId="217">
    <w:name w:val="标准文件_附录三级无标题"/>
    <w:basedOn w:val="85"/>
    <w:qFormat/>
    <w:uiPriority w:val="0"/>
    <w:pPr>
      <w:spacing w:before="0" w:beforeLines="0" w:after="0" w:afterLines="0" w:line="276" w:lineRule="auto"/>
      <w:outlineLvl w:val="9"/>
    </w:pPr>
    <w:rPr>
      <w:rFonts w:ascii="宋体" w:eastAsia="宋体"/>
    </w:rPr>
  </w:style>
  <w:style w:type="paragraph" w:customStyle="1" w:styleId="218">
    <w:name w:val="标准文件_附录四级无标题"/>
    <w:basedOn w:val="86"/>
    <w:qFormat/>
    <w:uiPriority w:val="0"/>
    <w:pPr>
      <w:spacing w:before="0" w:beforeLines="0" w:after="0" w:afterLines="0" w:line="276" w:lineRule="auto"/>
      <w:outlineLvl w:val="9"/>
    </w:pPr>
    <w:rPr>
      <w:rFonts w:ascii="宋体" w:eastAsia="宋体"/>
    </w:rPr>
  </w:style>
  <w:style w:type="paragraph" w:customStyle="1" w:styleId="219">
    <w:name w:val="标准文件_附录五级无标题"/>
    <w:basedOn w:val="88"/>
    <w:qFormat/>
    <w:uiPriority w:val="0"/>
    <w:pPr>
      <w:spacing w:before="0" w:beforeLines="0" w:after="0" w:afterLines="0" w:line="276" w:lineRule="auto"/>
      <w:outlineLvl w:val="9"/>
    </w:pPr>
    <w:rPr>
      <w:rFonts w:ascii="宋体" w:eastAsia="宋体"/>
    </w:rPr>
  </w:style>
  <w:style w:type="paragraph" w:customStyle="1" w:styleId="220">
    <w:name w:val="标准文件_引言一级无标题"/>
    <w:basedOn w:val="204"/>
    <w:next w:val="60"/>
    <w:qFormat/>
    <w:uiPriority w:val="0"/>
    <w:pPr>
      <w:spacing w:before="0" w:beforeLines="0" w:after="0" w:afterLines="0" w:line="276" w:lineRule="auto"/>
    </w:pPr>
    <w:rPr>
      <w:rFonts w:ascii="宋体" w:eastAsia="宋体"/>
    </w:rPr>
  </w:style>
  <w:style w:type="paragraph" w:customStyle="1" w:styleId="221">
    <w:name w:val="标准文件_引言二级无标题"/>
    <w:basedOn w:val="205"/>
    <w:next w:val="60"/>
    <w:qFormat/>
    <w:uiPriority w:val="0"/>
    <w:pPr>
      <w:spacing w:before="0" w:beforeLines="0" w:after="0" w:afterLines="0" w:line="276" w:lineRule="auto"/>
    </w:pPr>
    <w:rPr>
      <w:rFonts w:ascii="宋体" w:eastAsia="宋体"/>
    </w:rPr>
  </w:style>
  <w:style w:type="paragraph" w:customStyle="1" w:styleId="222">
    <w:name w:val="标准文件_引言三级无标题"/>
    <w:basedOn w:val="206"/>
    <w:next w:val="60"/>
    <w:qFormat/>
    <w:uiPriority w:val="0"/>
    <w:pPr>
      <w:spacing w:before="0" w:beforeLines="0" w:after="0" w:afterLines="0" w:line="276" w:lineRule="auto"/>
    </w:pPr>
    <w:rPr>
      <w:rFonts w:ascii="宋体" w:eastAsia="宋体"/>
    </w:rPr>
  </w:style>
  <w:style w:type="paragraph" w:customStyle="1" w:styleId="223">
    <w:name w:val="标准文件_引言四级无标题"/>
    <w:basedOn w:val="207"/>
    <w:next w:val="60"/>
    <w:qFormat/>
    <w:uiPriority w:val="0"/>
    <w:pPr>
      <w:spacing w:before="0" w:beforeLines="0" w:after="0" w:afterLines="0" w:line="276" w:lineRule="auto"/>
    </w:pPr>
    <w:rPr>
      <w:rFonts w:ascii="宋体" w:eastAsia="宋体"/>
    </w:rPr>
  </w:style>
  <w:style w:type="paragraph" w:customStyle="1" w:styleId="224">
    <w:name w:val="标准文件_引言五级无标题"/>
    <w:basedOn w:val="208"/>
    <w:next w:val="60"/>
    <w:qFormat/>
    <w:uiPriority w:val="0"/>
    <w:pPr>
      <w:spacing w:before="0" w:beforeLines="0" w:after="0" w:afterLines="0" w:line="276" w:lineRule="auto"/>
    </w:pPr>
    <w:rPr>
      <w:rFonts w:ascii="宋体" w:eastAsia="宋体"/>
    </w:rPr>
  </w:style>
  <w:style w:type="paragraph" w:customStyle="1" w:styleId="225">
    <w:name w:val="标准文件_索引标题"/>
    <w:basedOn w:val="67"/>
    <w:next w:val="60"/>
    <w:qFormat/>
    <w:uiPriority w:val="0"/>
    <w:rPr>
      <w:rFonts w:hAnsi="黑体"/>
    </w:rPr>
  </w:style>
  <w:style w:type="paragraph" w:customStyle="1" w:styleId="226">
    <w:name w:val="标准文件_脚注内容"/>
    <w:basedOn w:val="60"/>
    <w:qFormat/>
    <w:uiPriority w:val="0"/>
    <w:pPr>
      <w:ind w:left="400" w:leftChars="200" w:hanging="200" w:hangingChars="200"/>
    </w:pPr>
    <w:rPr>
      <w:sz w:val="15"/>
    </w:rPr>
  </w:style>
  <w:style w:type="paragraph" w:customStyle="1" w:styleId="227">
    <w:name w:val="标准文件_术语条一"/>
    <w:basedOn w:val="166"/>
    <w:next w:val="60"/>
    <w:qFormat/>
    <w:uiPriority w:val="0"/>
  </w:style>
  <w:style w:type="paragraph" w:customStyle="1" w:styleId="228">
    <w:name w:val="标准文件_术语条二"/>
    <w:basedOn w:val="169"/>
    <w:next w:val="60"/>
    <w:qFormat/>
    <w:uiPriority w:val="0"/>
  </w:style>
  <w:style w:type="paragraph" w:customStyle="1" w:styleId="229">
    <w:name w:val="标准文件_术语条三"/>
    <w:basedOn w:val="168"/>
    <w:next w:val="60"/>
    <w:qFormat/>
    <w:uiPriority w:val="0"/>
  </w:style>
  <w:style w:type="paragraph" w:customStyle="1" w:styleId="230">
    <w:name w:val="标准文件_术语条四"/>
    <w:basedOn w:val="171"/>
    <w:next w:val="60"/>
    <w:qFormat/>
    <w:uiPriority w:val="0"/>
  </w:style>
  <w:style w:type="paragraph" w:customStyle="1" w:styleId="231">
    <w:name w:val="标准文件_术语条五"/>
    <w:basedOn w:val="167"/>
    <w:next w:val="60"/>
    <w:qFormat/>
    <w:uiPriority w:val="0"/>
  </w:style>
  <w:style w:type="paragraph" w:customStyle="1" w:styleId="23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3">
    <w:name w:val="发布"/>
    <w:basedOn w:val="31"/>
    <w:qFormat/>
    <w:uiPriority w:val="0"/>
    <w:rPr>
      <w:rFonts w:ascii="黑体" w:eastAsia="黑体"/>
      <w:spacing w:val="85"/>
      <w:w w:val="100"/>
      <w:position w:val="3"/>
      <w:sz w:val="28"/>
      <w:szCs w:val="28"/>
    </w:rPr>
  </w:style>
  <w:style w:type="character" w:customStyle="1" w:styleId="234">
    <w:name w:val="标准文件_版本 Char"/>
    <w:link w:val="61"/>
    <w:qFormat/>
    <w:uiPriority w:val="0"/>
    <w:rPr>
      <w:rFonts w:ascii="宋体" w:hAnsi="宋体"/>
      <w:kern w:val="2"/>
    </w:rPr>
  </w:style>
  <w:style w:type="character" w:customStyle="1" w:styleId="235">
    <w:name w:val="标准文件_标准正文 Char"/>
    <w:link w:val="59"/>
    <w:qFormat/>
    <w:uiPriority w:val="0"/>
    <w:rPr>
      <w:kern w:val="0"/>
    </w:rPr>
  </w:style>
  <w:style w:type="paragraph" w:customStyle="1" w:styleId="236">
    <w:name w:val="msolistparagraph"/>
    <w:basedOn w:val="1"/>
    <w:qFormat/>
    <w:uiPriority w:val="0"/>
    <w:pPr>
      <w:ind w:firstLine="420" w:firstLineChars="200"/>
    </w:pPr>
    <w:rPr>
      <w:rFonts w:hint="eastAsia" w:ascii="等线" w:hAnsi="等线" w:eastAsia="等线"/>
      <w:szCs w:val="22"/>
    </w:rPr>
  </w:style>
  <w:style w:type="character" w:customStyle="1" w:styleId="237">
    <w:name w:val="批注文字 字符"/>
    <w:basedOn w:val="31"/>
    <w:link w:val="14"/>
    <w:qFormat/>
    <w:uiPriority w:val="99"/>
    <w:rPr>
      <w:rFonts w:ascii="等线" w:hAnsi="等线" w:eastAsia="等线"/>
      <w:kern w:val="2"/>
      <w:sz w:val="21"/>
      <w:szCs w:val="22"/>
    </w:rPr>
  </w:style>
  <w:style w:type="character" w:customStyle="1" w:styleId="238">
    <w:name w:val="批注主题 字符"/>
    <w:basedOn w:val="237"/>
    <w:link w:val="28"/>
    <w:semiHidden/>
    <w:qFormat/>
    <w:uiPriority w:val="99"/>
    <w:rPr>
      <w:rFonts w:ascii="等线" w:hAnsi="等线" w:eastAsia="等线"/>
      <w:b/>
      <w:bCs/>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tiff"/><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8B075CAF8AB422087D7F73D75B56C88"/>
        <w:style w:val=""/>
        <w:category>
          <w:name w:val="常规"/>
          <w:gallery w:val="placeholder"/>
        </w:category>
        <w:types>
          <w:type w:val="bbPlcHdr"/>
        </w:types>
        <w:behaviors>
          <w:behavior w:val="content"/>
        </w:behaviors>
        <w:description w:val=""/>
        <w:guid w:val="{29B1EC2C-1CB5-43A9-A66F-9C73FC8000DB}"/>
      </w:docPartPr>
      <w:docPartBody>
        <w:p w14:paraId="1F3FD9C1">
          <w:pPr>
            <w:pStyle w:val="5"/>
          </w:pPr>
          <w:r>
            <w:rPr>
              <w:rStyle w:val="4"/>
              <w:rFonts w:hint="eastAsia"/>
            </w:rPr>
            <w:t>单击或点击此处输入文字。</w:t>
          </w:r>
        </w:p>
      </w:docPartBody>
    </w:docPart>
    <w:docPart>
      <w:docPartPr>
        <w:name w:val="6AFFB8477EF845ECAD09146D79B5D254"/>
        <w:style w:val=""/>
        <w:category>
          <w:name w:val="常规"/>
          <w:gallery w:val="placeholder"/>
        </w:category>
        <w:types>
          <w:type w:val="bbPlcHdr"/>
        </w:types>
        <w:behaviors>
          <w:behavior w:val="content"/>
        </w:behaviors>
        <w:description w:val=""/>
        <w:guid w:val="{DE8BBFB1-5EEF-4E30-8FAE-1F57026FD763}"/>
      </w:docPartPr>
      <w:docPartBody>
        <w:p w14:paraId="26FC30CC">
          <w:pPr>
            <w:pStyle w:val="6"/>
          </w:pPr>
          <w:r>
            <w:rPr>
              <w:rStyle w:val="4"/>
              <w:rFonts w:hint="eastAsia"/>
            </w:rPr>
            <w:t>选择一项。</w:t>
          </w:r>
        </w:p>
      </w:docPartBody>
    </w:docPart>
    <w:docPart>
      <w:docPartPr>
        <w:name w:val="384725B32AAA4D8791F04EF452E9FE96"/>
        <w:style w:val=""/>
        <w:category>
          <w:name w:val="常规"/>
          <w:gallery w:val="placeholder"/>
        </w:category>
        <w:types>
          <w:type w:val="bbPlcHdr"/>
        </w:types>
        <w:behaviors>
          <w:behavior w:val="content"/>
        </w:behaviors>
        <w:description w:val=""/>
        <w:guid w:val="{5E587258-9084-462C-93B4-F7153CC8CE66}"/>
      </w:docPartPr>
      <w:docPartBody>
        <w:p w14:paraId="200A79AA">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360"/>
    <w:rsid w:val="00036709"/>
    <w:rsid w:val="00071213"/>
    <w:rsid w:val="002C2DF8"/>
    <w:rsid w:val="002C5E53"/>
    <w:rsid w:val="003561AD"/>
    <w:rsid w:val="00356D5C"/>
    <w:rsid w:val="00425462"/>
    <w:rsid w:val="00447360"/>
    <w:rsid w:val="004526FF"/>
    <w:rsid w:val="0057680F"/>
    <w:rsid w:val="007354B0"/>
    <w:rsid w:val="00746C08"/>
    <w:rsid w:val="00957AC5"/>
    <w:rsid w:val="00A01513"/>
    <w:rsid w:val="00C63442"/>
    <w:rsid w:val="00C70DE1"/>
    <w:rsid w:val="00CE69CC"/>
    <w:rsid w:val="00D5263E"/>
    <w:rsid w:val="00F11304"/>
    <w:rsid w:val="00FA0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8B075CAF8AB422087D7F73D75B56C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6AFFB8477EF845ECAD09146D79B5D2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384725B32AAA4D8791F04EF452E9FE9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EC4D4-A929-45DA-9003-86FCFFB8CBAB}">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43</Pages>
  <Words>28826</Words>
  <Characters>32076</Characters>
  <Lines>268</Lines>
  <Paragraphs>75</Paragraphs>
  <TotalTime>86</TotalTime>
  <ScaleCrop>false</ScaleCrop>
  <LinksUpToDate>false</LinksUpToDate>
  <CharactersWithSpaces>33079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2021-11-13T23:57:00Z</dcterms:created>
  <dc:creator>Administrator</dc:creator>
  <dc:description>&lt;config cover="true" show_menu="true" version="1.0.0" doctype="SDKXY"&gt;_x000d_
&lt;/config&gt;</dc:description>
  <cp:lastModifiedBy>林小海</cp:lastModifiedBy>
  <cp:lastPrinted>2020-09-03T02:00:00Z</cp:lastPrinted>
  <dcterms:modified xsi:type="dcterms:W3CDTF">2024-09-13T06:29:07Z</dcterms:modified>
  <dc:title>地方标准</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2052-12.1.0.18276</vt:lpwstr>
  </property>
  <property fmtid="{D5CDD505-2E9C-101B-9397-08002B2CF9AE}" pid="15" name="ICV">
    <vt:lpwstr>CF113B788B2942A7B48A9319B032E593_13</vt:lpwstr>
  </property>
</Properties>
</file>