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22"/>
        <w:framePr w:w="9639" w:h="6974" w:hRule="exact" w:wrap="around" w:vAnchor="page" w:hAnchor="page" w:x="1419" w:y="6408"/>
        <w:pBdr>
          <w:top w:val="none" w:color="auto" w:sz="0" w:space="0"/>
          <w:left w:val="none" w:color="auto" w:sz="0" w:space="0"/>
          <w:bottom w:val="none" w:color="auto" w:sz="0" w:space="0"/>
          <w:right w:val="none" w:color="auto" w:sz="0" w:space="0"/>
        </w:pBdr>
        <w:jc w:val="center"/>
      </w:pPr>
      <w:r>
        <w:rPr>
          <w:rFonts w:hint="eastAsia"/>
        </w:rPr>
        <w:t>煎炸油使用规范</w:t>
      </w:r>
    </w:p>
    <w:p>
      <w:pPr>
        <w:pStyle w:val="125"/>
        <w:framePr w:w="9639" w:h="6974" w:hRule="exact" w:wrap="around" w:vAnchor="page" w:hAnchor="page" w:x="1419" w:y="6408" w:anchorLock="1"/>
        <w:pBdr>
          <w:top w:val="none" w:color="auto" w:sz="0" w:space="0"/>
          <w:left w:val="none" w:color="auto" w:sz="0" w:space="0"/>
          <w:bottom w:val="none" w:color="auto" w:sz="0" w:space="0"/>
          <w:right w:val="none" w:color="auto" w:sz="0" w:space="0"/>
        </w:pBdr>
        <w:rPr>
          <w:rFonts w:ascii="Times New Roman" w:eastAsia="黑体"/>
          <w:sz w:val="28"/>
          <w:szCs w:val="28"/>
          <w:lang w:bidi="ar-SA"/>
        </w:rPr>
      </w:pPr>
      <w:bookmarkStart w:id="9" w:name="StdEnglishName"/>
    </w:p>
    <w:p>
      <w:pPr>
        <w:pStyle w:val="125"/>
        <w:framePr w:w="9639" w:h="6974" w:hRule="exact" w:wrap="around" w:vAnchor="page" w:hAnchor="page" w:x="1419" w:y="6408" w:anchorLock="1"/>
        <w:pBdr>
          <w:top w:val="none" w:color="auto" w:sz="0" w:space="0"/>
          <w:left w:val="none" w:color="auto" w:sz="0" w:space="0"/>
          <w:bottom w:val="none" w:color="auto" w:sz="0" w:space="0"/>
          <w:right w:val="none" w:color="auto" w:sz="0" w:space="0"/>
        </w:pBdr>
      </w:pPr>
      <w:r>
        <w:rPr>
          <w:rFonts w:ascii="Times New Roman" w:eastAsia="黑体"/>
          <w:sz w:val="28"/>
          <w:szCs w:val="28"/>
          <w:lang w:bidi="ar-SA"/>
        </w:rPr>
        <w:fldChar w:fldCharType="begin">
          <w:ffData>
            <w:name w:val="StdEnglishName"/>
            <w:enabled/>
            <w:calcOnExit w:val="0"/>
            <w:textInput>
              <w:default w:val="Specification for the use of frying oil"/>
            </w:textInput>
          </w:ffData>
        </w:fldChar>
      </w:r>
      <w:r>
        <w:rPr>
          <w:rFonts w:ascii="Times New Roman" w:eastAsia="黑体"/>
          <w:sz w:val="28"/>
          <w:szCs w:val="28"/>
          <w:lang w:bidi="ar-SA"/>
        </w:rPr>
        <w:instrText xml:space="preserve">FORMTEXT</w:instrText>
      </w:r>
      <w:r>
        <w:rPr>
          <w:rFonts w:ascii="Times New Roman" w:eastAsia="黑体"/>
          <w:sz w:val="28"/>
          <w:szCs w:val="28"/>
          <w:lang w:bidi="ar-SA"/>
        </w:rPr>
        <w:fldChar w:fldCharType="separate"/>
      </w:r>
      <w:r>
        <w:rPr>
          <w:rFonts w:ascii="Times New Roman" w:eastAsia="黑体"/>
          <w:sz w:val="28"/>
          <w:szCs w:val="28"/>
          <w:lang w:bidi="ar-SA"/>
        </w:rPr>
        <w:t>Specification for the use of frying oil</w:t>
      </w:r>
      <w:r>
        <w:rPr>
          <w:rFonts w:ascii="Times New Roman" w:eastAsia="黑体"/>
          <w:sz w:val="28"/>
          <w:szCs w:val="28"/>
          <w:lang w:bidi="ar-SA"/>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jc w:val="both"/>
        <w:textAlignment w:val="bottom"/>
        <w:rPr>
          <w:sz w:val="24"/>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0"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rPr>
          <w:rFonts w:hint="eastAsia"/>
        </w:rPr>
      </w:pPr>
      <w:r>
        <w:rPr>
          <w:rFonts w:hint="eastAsia"/>
        </w:rPr>
        <w:t>请注意本文件的某些内容可能涉及专利。本文件的发布机构不承担识别专利的责任。</w:t>
      </w:r>
    </w:p>
    <w:p>
      <w:pPr>
        <w:pStyle w:val="233"/>
        <w:rPr>
          <w:rFonts w:hint="eastAsia"/>
        </w:rPr>
      </w:pPr>
      <w:r>
        <w:rPr>
          <w:rFonts w:hint="eastAsia"/>
        </w:rPr>
        <w:t>本文件由</w:t>
      </w:r>
      <w:r>
        <w:rPr>
          <w:rFonts w:hint="eastAsia"/>
          <w:lang w:val="en-US" w:eastAsia="zh-CN"/>
        </w:rPr>
        <w:t>××××</w:t>
      </w:r>
      <w:r>
        <w:rPr>
          <w:rFonts w:hint="eastAsia"/>
        </w:rPr>
        <w:t>提出并归口。</w:t>
      </w:r>
    </w:p>
    <w:p>
      <w:pPr>
        <w:pStyle w:val="233"/>
        <w:rPr>
          <w:rFonts w:hint="eastAsia"/>
        </w:rPr>
      </w:pPr>
      <w:r>
        <w:rPr>
          <w:rFonts w:hint="eastAsia"/>
        </w:rPr>
        <w:t>本文件起草单位：××××。</w:t>
      </w:r>
    </w:p>
    <w:p>
      <w:pPr>
        <w:pStyle w:val="233"/>
        <w:rPr>
          <w:rFonts w:hint="eastAsia"/>
        </w:rPr>
      </w:pPr>
      <w:r>
        <w:rPr>
          <w:rFonts w:hint="eastAsia"/>
        </w:rPr>
        <w:t>本文件主要起草人：××××。</w:t>
      </w:r>
    </w:p>
    <w:p>
      <w:pPr>
        <w:pStyle w:val="56"/>
        <w:ind w:firstLine="420"/>
      </w:pPr>
    </w:p>
    <w:p>
      <w:pPr>
        <w:pStyle w:val="56"/>
        <w:ind w:firstLine="420"/>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399BBAE18E3D4B2B832F6B0864B5C22E"/>
        </w:placeholder>
      </w:sdtPr>
      <w:sdtContent>
        <w:p>
          <w:pPr>
            <w:pStyle w:val="177"/>
            <w:spacing w:before="3" w:beforeLines="1" w:after="686" w:afterLines="220"/>
          </w:pPr>
          <w:bookmarkStart w:id="22" w:name="NEW_STAND_NAME"/>
          <w:r>
            <w:rPr>
              <w:rFonts w:hint="eastAsia"/>
              <w:lang w:eastAsia="zh-CN"/>
            </w:rPr>
            <w:t>煎炸油使用规范</w:t>
          </w:r>
        </w:p>
      </w:sdtContent>
    </w:sdt>
    <w:bookmarkEnd w:id="22"/>
    <w:p>
      <w:pPr>
        <w:pStyle w:val="104"/>
        <w:spacing w:before="312" w:after="312"/>
        <w:ind w:left="0"/>
      </w:pPr>
      <w:bookmarkStart w:id="23" w:name="_Toc17233325"/>
      <w:bookmarkStart w:id="24" w:name="_Toc24884211"/>
      <w:bookmarkStart w:id="25" w:name="_Toc97191423"/>
      <w:bookmarkStart w:id="26" w:name="_Toc26986771"/>
      <w:bookmarkStart w:id="27" w:name="_Toc24884218"/>
      <w:bookmarkStart w:id="28" w:name="_Toc26718930"/>
      <w:bookmarkStart w:id="29" w:name="_Toc26648465"/>
      <w:bookmarkStart w:id="30" w:name="_Toc26986530"/>
      <w:bookmarkStart w:id="31" w:name="_Toc17233333"/>
      <w:r>
        <w:rPr>
          <w:rFonts w:hint="eastAsia"/>
        </w:rPr>
        <w:t>范围</w:t>
      </w:r>
      <w:bookmarkEnd w:id="23"/>
      <w:bookmarkEnd w:id="24"/>
      <w:bookmarkEnd w:id="25"/>
      <w:bookmarkEnd w:id="26"/>
      <w:bookmarkEnd w:id="27"/>
      <w:bookmarkEnd w:id="28"/>
      <w:bookmarkEnd w:id="29"/>
      <w:bookmarkEnd w:id="30"/>
      <w:bookmarkEnd w:id="31"/>
    </w:p>
    <w:p>
      <w:pPr>
        <w:pStyle w:val="233"/>
        <w:rPr>
          <w:rFonts w:hint="eastAsia"/>
        </w:rPr>
      </w:pPr>
      <w:bookmarkStart w:id="32" w:name="_Toc97191424"/>
      <w:bookmarkStart w:id="33" w:name="_Toc26648466"/>
      <w:bookmarkStart w:id="34" w:name="_Toc24884212"/>
      <w:bookmarkStart w:id="35" w:name="_Toc26986531"/>
      <w:bookmarkStart w:id="36" w:name="_Toc17233326"/>
      <w:bookmarkStart w:id="37" w:name="_Toc17233334"/>
      <w:bookmarkStart w:id="38" w:name="_Toc26986772"/>
      <w:bookmarkStart w:id="39" w:name="_Toc24884219"/>
      <w:bookmarkStart w:id="40" w:name="_Toc26718931"/>
      <w:r>
        <w:rPr>
          <w:rFonts w:hint="eastAsia"/>
        </w:rPr>
        <w:t>本文件规定了煎炸油的术语和定义、煎炸油原料要求、使用要求、废弃油处置和记录保存的要求。</w:t>
      </w:r>
    </w:p>
    <w:p>
      <w:pPr>
        <w:pStyle w:val="233"/>
      </w:pPr>
      <w:r>
        <w:rPr>
          <w:rFonts w:hint="eastAsia"/>
        </w:rPr>
        <w:t>本文件适用于指导各类餐饮服务提供者规范使用煎炸油，涉及煎炸工艺的生产企业可参照执行。</w:t>
      </w:r>
    </w:p>
    <w:p>
      <w:pPr>
        <w:pStyle w:val="104"/>
        <w:spacing w:before="312" w:after="312"/>
        <w:ind w:left="0"/>
      </w:pPr>
      <w:r>
        <w:rPr>
          <w:rFonts w:hint="eastAsia"/>
        </w:rPr>
        <w:t>规范性引用文件</w:t>
      </w:r>
      <w:bookmarkEnd w:id="32"/>
      <w:bookmarkEnd w:id="33"/>
      <w:bookmarkEnd w:id="34"/>
      <w:bookmarkEnd w:id="35"/>
      <w:bookmarkEnd w:id="36"/>
      <w:bookmarkEnd w:id="37"/>
      <w:bookmarkEnd w:id="38"/>
      <w:bookmarkEnd w:id="39"/>
      <w:bookmarkEnd w:id="40"/>
    </w:p>
    <w:p>
      <w:pPr>
        <w:pStyle w:val="233"/>
        <w:rPr>
          <w:rFonts w:hint="eastAsia"/>
        </w:rPr>
      </w:pPr>
      <w:bookmarkStart w:id="41" w:name="_Toc97191425"/>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3"/>
        <w:rPr>
          <w:rFonts w:hint="eastAsia" w:ascii="Times New Roman"/>
        </w:rPr>
      </w:pPr>
      <w:r>
        <w:rPr>
          <w:rFonts w:hint="eastAsia" w:ascii="Times New Roman"/>
        </w:rPr>
        <w:t>GB 2716　食品安全国家标准　植物油</w:t>
      </w:r>
    </w:p>
    <w:p>
      <w:pPr>
        <w:pStyle w:val="233"/>
        <w:rPr>
          <w:rFonts w:hint="eastAsia" w:ascii="Times New Roman"/>
        </w:rPr>
      </w:pPr>
      <w:r>
        <w:rPr>
          <w:rFonts w:hint="eastAsia" w:ascii="Times New Roman"/>
        </w:rPr>
        <w:t>GB/T 17374 食用植物油销售包装</w:t>
      </w:r>
    </w:p>
    <w:p>
      <w:pPr>
        <w:pStyle w:val="233"/>
        <w:rPr>
          <w:rFonts w:hint="eastAsia" w:ascii="Times New Roman"/>
        </w:rPr>
      </w:pPr>
      <w:r>
        <w:rPr>
          <w:rFonts w:hint="eastAsia" w:ascii="Times New Roman"/>
        </w:rPr>
        <w:t>GB 31654 食品安全国家标准 餐饮服务通用卫生规范</w:t>
      </w:r>
    </w:p>
    <w:p>
      <w:pPr>
        <w:pStyle w:val="104"/>
        <w:spacing w:before="312" w:after="312"/>
        <w:ind w:left="0"/>
      </w:pPr>
      <w:r>
        <w:rPr>
          <w:rFonts w:hint="eastAsia"/>
          <w:szCs w:val="21"/>
        </w:rPr>
        <w:t>术语和定义</w:t>
      </w:r>
      <w:bookmarkEnd w:id="41"/>
    </w:p>
    <w:sdt>
      <w:sdtPr>
        <w:id w:val="-1909835108"/>
        <w:placeholder>
          <w:docPart w:val="EDE4A51F14F64D47A0EABB74E740C4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2" w:name="_Toc26986532"/>
          <w:bookmarkEnd w:id="42"/>
          <w:r>
            <w:t>下列术语和定义适用于本文件。</w:t>
          </w:r>
        </w:p>
      </w:sdtContent>
    </w:sdt>
    <w:p>
      <w:pPr>
        <w:pStyle w:val="105"/>
        <w:spacing w:before="156" w:after="156"/>
        <w:ind w:left="0"/>
      </w:pPr>
    </w:p>
    <w:p>
      <w:pPr>
        <w:widowControl/>
        <w:numPr>
          <w:ilvl w:val="1"/>
          <w:numId w:val="0"/>
        </w:numPr>
        <w:spacing w:before="161" w:beforeLines="50" w:after="161" w:afterLines="50"/>
        <w:ind w:firstLine="420" w:firstLineChars="200"/>
        <w:outlineLvl w:val="1"/>
        <w:rPr>
          <w:rFonts w:hint="eastAsia" w:ascii="黑体" w:eastAsia="黑体"/>
          <w:color w:val="000000"/>
          <w:szCs w:val="20"/>
        </w:rPr>
      </w:pPr>
      <w:r>
        <w:rPr>
          <w:rFonts w:hint="eastAsia" w:ascii="黑体" w:eastAsia="黑体"/>
          <w:color w:val="000000"/>
          <w:szCs w:val="20"/>
        </w:rPr>
        <w:t>煎炸油　frying oil</w:t>
      </w:r>
    </w:p>
    <w:p>
      <w:pPr>
        <w:pStyle w:val="233"/>
        <w:rPr>
          <w:rFonts w:hint="eastAsia"/>
        </w:rPr>
      </w:pPr>
      <w:r>
        <w:rPr>
          <w:rFonts w:hint="eastAsia"/>
        </w:rPr>
        <w:t>用于煎炸食品的食用油脂及其制品。</w:t>
      </w:r>
    </w:p>
    <w:p>
      <w:pPr>
        <w:pStyle w:val="105"/>
        <w:spacing w:before="156" w:after="156"/>
        <w:ind w:left="0"/>
      </w:pPr>
    </w:p>
    <w:p>
      <w:pPr>
        <w:widowControl/>
        <w:numPr>
          <w:ilvl w:val="1"/>
          <w:numId w:val="0"/>
        </w:numPr>
        <w:spacing w:before="161" w:beforeLines="50" w:after="161" w:afterLines="50"/>
        <w:ind w:firstLine="420" w:firstLineChars="200"/>
        <w:outlineLvl w:val="1"/>
        <w:rPr>
          <w:rFonts w:hint="eastAsia" w:ascii="黑体" w:eastAsia="黑体"/>
          <w:color w:val="000000"/>
          <w:szCs w:val="20"/>
        </w:rPr>
      </w:pPr>
      <w:r>
        <w:rPr>
          <w:rFonts w:hint="eastAsia" w:ascii="黑体" w:eastAsia="黑体"/>
          <w:color w:val="000000"/>
          <w:szCs w:val="20"/>
        </w:rPr>
        <w:t>在用油　oil in use</w:t>
      </w:r>
    </w:p>
    <w:p>
      <w:pPr>
        <w:pStyle w:val="233"/>
        <w:rPr>
          <w:rFonts w:hint="eastAsia"/>
        </w:rPr>
      </w:pPr>
      <w:r>
        <w:rPr>
          <w:rFonts w:hint="eastAsia"/>
        </w:rPr>
        <w:t>食物煎炸过程中使用的</w:t>
      </w:r>
      <w:r>
        <w:rPr>
          <w:rFonts w:hint="eastAsia"/>
          <w:lang w:val="en-US" w:eastAsia="zh-CN"/>
        </w:rPr>
        <w:t>食</w:t>
      </w:r>
      <w:r>
        <w:rPr>
          <w:rFonts w:hint="eastAsia"/>
        </w:rPr>
        <w:t>用油脂及其制品。</w:t>
      </w:r>
    </w:p>
    <w:p>
      <w:pPr>
        <w:pStyle w:val="105"/>
        <w:spacing w:before="156" w:after="156"/>
        <w:ind w:left="0"/>
      </w:pPr>
    </w:p>
    <w:p>
      <w:pPr>
        <w:widowControl/>
        <w:numPr>
          <w:ilvl w:val="1"/>
          <w:numId w:val="0"/>
        </w:numPr>
        <w:spacing w:before="161" w:beforeLines="50" w:after="161" w:afterLines="50"/>
        <w:ind w:firstLine="420" w:firstLineChars="200"/>
        <w:outlineLvl w:val="1"/>
        <w:rPr>
          <w:rFonts w:hint="eastAsia" w:ascii="黑体" w:eastAsia="黑体"/>
          <w:color w:val="000000"/>
          <w:szCs w:val="20"/>
        </w:rPr>
      </w:pPr>
      <w:r>
        <w:rPr>
          <w:rFonts w:hint="eastAsia" w:ascii="黑体" w:eastAsia="黑体"/>
          <w:color w:val="000000"/>
          <w:szCs w:val="20"/>
        </w:rPr>
        <w:t>废弃油　useless oil</w:t>
      </w:r>
    </w:p>
    <w:p>
      <w:pPr>
        <w:pStyle w:val="233"/>
        <w:rPr>
          <w:rFonts w:hint="eastAsia" w:cs="宋体"/>
          <w:szCs w:val="21"/>
        </w:rPr>
      </w:pPr>
      <w:r>
        <w:rPr>
          <w:rFonts w:hint="eastAsia" w:cs="宋体"/>
          <w:szCs w:val="21"/>
        </w:rPr>
        <w:t>经过长期使用，不能用于食品加工制作的煎炸油。</w:t>
      </w:r>
    </w:p>
    <w:p>
      <w:pPr>
        <w:widowControl/>
        <w:autoSpaceDE w:val="0"/>
        <w:autoSpaceDN w:val="0"/>
        <w:spacing w:before="161" w:beforeLines="50" w:after="161" w:afterLines="50" w:line="360" w:lineRule="auto"/>
        <w:rPr>
          <w:rFonts w:ascii="黑体" w:eastAsia="黑体"/>
          <w:color w:val="000000"/>
          <w:kern w:val="0"/>
          <w:szCs w:val="20"/>
        </w:rPr>
      </w:pPr>
      <w:r>
        <w:rPr>
          <w:rFonts w:hint="eastAsia" w:ascii="黑体" w:eastAsia="黑体"/>
          <w:color w:val="000000"/>
          <w:kern w:val="0"/>
          <w:szCs w:val="20"/>
        </w:rPr>
        <w:t>4  煎炸油原料要求</w:t>
      </w:r>
    </w:p>
    <w:p>
      <w:pPr>
        <w:spacing w:before="161" w:beforeLines="50" w:after="161" w:afterLines="50"/>
        <w:outlineLvl w:val="1"/>
        <w:rPr>
          <w:rFonts w:ascii="黑体" w:eastAsia="黑体"/>
        </w:rPr>
      </w:pPr>
      <w:r>
        <w:rPr>
          <w:rFonts w:hint="eastAsia" w:ascii="黑体" w:eastAsia="黑体"/>
        </w:rPr>
        <w:t>4.1 原料采购</w:t>
      </w:r>
    </w:p>
    <w:p>
      <w:pPr>
        <w:widowControl/>
        <w:autoSpaceDE w:val="0"/>
        <w:autoSpaceDN w:val="0"/>
        <w:spacing w:line="360" w:lineRule="auto"/>
        <w:rPr>
          <w:rFonts w:ascii="宋体" w:hAnsi="宋体"/>
          <w:color w:val="000000"/>
          <w:kern w:val="0"/>
          <w:szCs w:val="20"/>
        </w:rPr>
      </w:pPr>
      <w:r>
        <w:rPr>
          <w:rFonts w:hint="eastAsia" w:ascii="黑体" w:hAnsi="黑体" w:eastAsia="黑体" w:cs="黑体"/>
          <w:color w:val="000000"/>
          <w:kern w:val="0"/>
          <w:szCs w:val="20"/>
        </w:rPr>
        <w:t>4.1.1</w:t>
      </w:r>
      <w:r>
        <w:rPr>
          <w:rFonts w:hint="eastAsia" w:ascii="宋体" w:hAnsi="宋体"/>
          <w:color w:val="000000"/>
          <w:kern w:val="0"/>
          <w:szCs w:val="20"/>
        </w:rPr>
        <w:t xml:space="preserve"> 供货方应具有相关合法资质，不得采购非正规来源、无标识或非食用的油脂及其制品。</w:t>
      </w:r>
    </w:p>
    <w:p>
      <w:pPr>
        <w:widowControl/>
        <w:autoSpaceDE w:val="0"/>
        <w:autoSpaceDN w:val="0"/>
        <w:spacing w:line="360" w:lineRule="auto"/>
        <w:rPr>
          <w:rFonts w:ascii="宋体" w:hAnsi="宋体"/>
          <w:kern w:val="0"/>
          <w:szCs w:val="20"/>
        </w:rPr>
      </w:pPr>
      <w:r>
        <w:rPr>
          <w:rFonts w:hint="eastAsia" w:ascii="黑体" w:hAnsi="黑体" w:eastAsia="黑体" w:cs="黑体"/>
          <w:color w:val="000000"/>
          <w:kern w:val="0"/>
          <w:szCs w:val="20"/>
        </w:rPr>
        <w:t>4.1.2</w:t>
      </w:r>
      <w:r>
        <w:rPr>
          <w:rFonts w:hint="eastAsia" w:ascii="宋体" w:hAnsi="宋体"/>
          <w:color w:val="000000"/>
          <w:kern w:val="0"/>
          <w:szCs w:val="20"/>
        </w:rPr>
        <w:t xml:space="preserve"> 采购的食用油脂及其制品应符合相应的国家标准、行业标准和企业标准的规定，</w:t>
      </w:r>
      <w:r>
        <w:rPr>
          <w:rFonts w:hint="eastAsia" w:ascii="宋体" w:hAnsi="宋体"/>
          <w:color w:val="000000"/>
          <w:kern w:val="0"/>
          <w:szCs w:val="20"/>
          <w:lang w:val="en-US" w:eastAsia="zh-CN"/>
        </w:rPr>
        <w:t>并</w:t>
      </w:r>
      <w:r>
        <w:rPr>
          <w:rFonts w:hint="eastAsia" w:ascii="宋体" w:hAnsi="宋体"/>
          <w:color w:val="000000"/>
          <w:kern w:val="0"/>
          <w:szCs w:val="20"/>
        </w:rPr>
        <w:t>向供货者索要产品检测报告，或委托有资质的第三方检测机构对采购的食用油脂及其制品进行</w:t>
      </w:r>
      <w:r>
        <w:rPr>
          <w:rFonts w:hint="eastAsia" w:ascii="宋体" w:hAnsi="宋体"/>
          <w:kern w:val="0"/>
          <w:szCs w:val="20"/>
        </w:rPr>
        <w:t>检测，检测项目包含酸价、过氧化值、溶剂残留量等。</w:t>
      </w:r>
    </w:p>
    <w:p>
      <w:pPr>
        <w:widowControl/>
        <w:autoSpaceDE w:val="0"/>
        <w:autoSpaceDN w:val="0"/>
        <w:spacing w:line="360" w:lineRule="auto"/>
        <w:rPr>
          <w:rFonts w:hint="eastAsia" w:ascii="宋体" w:hAnsi="宋体"/>
          <w:color w:val="000000"/>
          <w:kern w:val="0"/>
          <w:szCs w:val="20"/>
        </w:rPr>
      </w:pPr>
      <w:r>
        <w:rPr>
          <w:rFonts w:hint="eastAsia" w:ascii="黑体" w:hAnsi="黑体" w:eastAsia="黑体" w:cs="黑体"/>
          <w:color w:val="000000"/>
          <w:kern w:val="0"/>
          <w:szCs w:val="20"/>
        </w:rPr>
        <w:t>4.1.3</w:t>
      </w:r>
      <w:r>
        <w:rPr>
          <w:rFonts w:hint="eastAsia" w:ascii="宋体" w:hAnsi="宋体"/>
          <w:color w:val="000000"/>
          <w:kern w:val="0"/>
          <w:szCs w:val="20"/>
        </w:rPr>
        <w:t xml:space="preserve"> 应选择热稳定性好、适合油炸加工的食用油脂及其制品作为煎炸油，如棕榈油、花生油、大豆油等。</w:t>
      </w:r>
    </w:p>
    <w:p>
      <w:pPr>
        <w:widowControl/>
        <w:autoSpaceDE w:val="0"/>
        <w:autoSpaceDN w:val="0"/>
        <w:spacing w:line="360" w:lineRule="auto"/>
        <w:rPr>
          <w:rFonts w:ascii="宋体" w:hAnsi="宋体"/>
          <w:color w:val="000000"/>
          <w:kern w:val="0"/>
          <w:szCs w:val="20"/>
        </w:rPr>
      </w:pPr>
      <w:r>
        <w:rPr>
          <w:rFonts w:hint="eastAsia" w:ascii="黑体" w:hAnsi="黑体" w:eastAsia="黑体" w:cs="黑体"/>
          <w:color w:val="000000"/>
          <w:kern w:val="0"/>
          <w:szCs w:val="20"/>
        </w:rPr>
        <w:t>4.1.4</w:t>
      </w:r>
      <w:r>
        <w:rPr>
          <w:rFonts w:hint="eastAsia" w:ascii="宋体" w:hAnsi="宋体"/>
          <w:color w:val="000000"/>
          <w:kern w:val="0"/>
          <w:szCs w:val="20"/>
        </w:rPr>
        <w:t xml:space="preserve"> 食用油脂及其制品包装容器应符合</w:t>
      </w:r>
      <w:r>
        <w:rPr>
          <w:color w:val="000000"/>
          <w:kern w:val="0"/>
          <w:szCs w:val="20"/>
        </w:rPr>
        <w:t>GB/T 17374</w:t>
      </w:r>
      <w:r>
        <w:rPr>
          <w:rFonts w:hint="eastAsia" w:ascii="宋体" w:hAnsi="宋体"/>
          <w:color w:val="000000"/>
          <w:kern w:val="0"/>
          <w:szCs w:val="20"/>
        </w:rPr>
        <w:t>的要求，不得采购使用</w:t>
      </w:r>
      <w:r>
        <w:rPr>
          <w:color w:val="000000"/>
          <w:kern w:val="0"/>
          <w:szCs w:val="20"/>
        </w:rPr>
        <w:t>PVC</w:t>
      </w:r>
      <w:r>
        <w:rPr>
          <w:rFonts w:hint="eastAsia" w:ascii="宋体" w:hAnsi="宋体"/>
          <w:color w:val="000000"/>
          <w:kern w:val="0"/>
          <w:szCs w:val="20"/>
        </w:rPr>
        <w:t>塑料制品或回收容器包装的食用油脂及其制品。</w:t>
      </w:r>
    </w:p>
    <w:p>
      <w:pPr>
        <w:spacing w:before="161" w:beforeLines="50" w:after="161" w:afterLines="50"/>
        <w:outlineLvl w:val="1"/>
        <w:rPr>
          <w:rFonts w:ascii="黑体" w:eastAsia="黑体"/>
        </w:rPr>
      </w:pPr>
      <w:r>
        <w:rPr>
          <w:rFonts w:hint="eastAsia" w:ascii="黑体" w:eastAsia="黑体"/>
        </w:rPr>
        <w:t>4.2 进货查验</w:t>
      </w:r>
    </w:p>
    <w:p>
      <w:pPr>
        <w:widowControl/>
        <w:autoSpaceDE w:val="0"/>
        <w:autoSpaceDN w:val="0"/>
        <w:spacing w:line="360" w:lineRule="auto"/>
        <w:rPr>
          <w:rFonts w:ascii="宋体" w:hAnsi="宋体"/>
          <w:kern w:val="0"/>
          <w:szCs w:val="20"/>
        </w:rPr>
      </w:pPr>
      <w:r>
        <w:rPr>
          <w:rFonts w:hint="eastAsia" w:ascii="黑体" w:hAnsi="黑体" w:eastAsia="黑体" w:cs="黑体"/>
          <w:color w:val="000000"/>
          <w:kern w:val="0"/>
          <w:szCs w:val="20"/>
        </w:rPr>
        <w:t>4.2.1</w:t>
      </w:r>
      <w:r>
        <w:rPr>
          <w:rFonts w:hint="eastAsia" w:ascii="宋体" w:hAnsi="宋体"/>
          <w:color w:val="000000"/>
          <w:kern w:val="0"/>
          <w:szCs w:val="20"/>
        </w:rPr>
        <w:t xml:space="preserve"> 餐饮服务提供者门店自行采购的，应当严格落实索证索票、进货查验</w:t>
      </w:r>
      <w:r>
        <w:rPr>
          <w:rFonts w:hint="eastAsia" w:ascii="宋体" w:hAnsi="宋体"/>
          <w:kern w:val="0"/>
          <w:szCs w:val="20"/>
        </w:rPr>
        <w:t>和采购记录</w:t>
      </w:r>
      <w:r>
        <w:rPr>
          <w:rFonts w:hint="eastAsia" w:ascii="宋体" w:hAnsi="宋体"/>
          <w:color w:val="000000"/>
          <w:kern w:val="0"/>
          <w:szCs w:val="20"/>
        </w:rPr>
        <w:t>；实行统一配送经营方式的，可由总部统一查验、索取食用油脂及其制品购物凭证，留存供货方盖章（或签字）的许可证、营业执照等相关资质证明及产品合格证明文件，留存每笔购物或送货凭证，各门店应能及时查询、获取相关证明文件复印件或凭证</w:t>
      </w:r>
      <w:r>
        <w:rPr>
          <w:rFonts w:hint="eastAsia" w:ascii="宋体" w:hAnsi="宋体"/>
          <w:kern w:val="0"/>
          <w:szCs w:val="20"/>
        </w:rPr>
        <w:t>。</w:t>
      </w:r>
    </w:p>
    <w:p>
      <w:pPr>
        <w:widowControl/>
        <w:autoSpaceDE w:val="0"/>
        <w:autoSpaceDN w:val="0"/>
        <w:spacing w:line="360" w:lineRule="auto"/>
        <w:rPr>
          <w:rFonts w:hint="eastAsia" w:ascii="宋体" w:hAnsi="宋体"/>
          <w:kern w:val="0"/>
          <w:szCs w:val="20"/>
        </w:rPr>
      </w:pPr>
      <w:r>
        <w:rPr>
          <w:rFonts w:hint="eastAsia" w:ascii="黑体" w:hAnsi="黑体" w:eastAsia="黑体" w:cs="黑体"/>
          <w:kern w:val="0"/>
          <w:szCs w:val="20"/>
        </w:rPr>
        <w:t>4.2.2</w:t>
      </w:r>
      <w:r>
        <w:rPr>
          <w:rFonts w:hint="eastAsia" w:ascii="宋体" w:hAnsi="宋体"/>
          <w:kern w:val="0"/>
          <w:szCs w:val="20"/>
        </w:rPr>
        <w:t xml:space="preserve"> 餐饮服务提供者应当整理和保存供货方的证照、产品检验合格证明、购物凭证和采购记录，保证采购记录完整。</w:t>
      </w:r>
    </w:p>
    <w:p>
      <w:pPr>
        <w:widowControl/>
        <w:autoSpaceDE w:val="0"/>
        <w:autoSpaceDN w:val="0"/>
        <w:spacing w:line="360" w:lineRule="auto"/>
        <w:rPr>
          <w:rFonts w:ascii="宋体" w:hAnsi="宋体"/>
          <w:kern w:val="0"/>
          <w:szCs w:val="20"/>
        </w:rPr>
      </w:pPr>
      <w:r>
        <w:rPr>
          <w:rFonts w:hint="eastAsia" w:ascii="黑体" w:hAnsi="黑体" w:eastAsia="黑体" w:cs="黑体"/>
          <w:kern w:val="0"/>
          <w:szCs w:val="20"/>
          <w:lang w:val="en-US" w:eastAsia="zh-CN"/>
        </w:rPr>
        <w:t xml:space="preserve">4.2.3 </w:t>
      </w:r>
      <w:r>
        <w:rPr>
          <w:rFonts w:hint="eastAsia" w:ascii="宋体" w:hAnsi="宋体"/>
          <w:kern w:val="0"/>
          <w:szCs w:val="20"/>
        </w:rPr>
        <w:t>餐饮服务提供者在原料入库前应进行查验，并做好入库查验记录</w:t>
      </w:r>
      <w:r>
        <w:rPr>
          <w:rFonts w:hint="eastAsia"/>
          <w:kern w:val="0"/>
          <w:szCs w:val="20"/>
        </w:rPr>
        <w:t>。</w:t>
      </w:r>
      <w:r>
        <w:rPr>
          <w:rFonts w:hint="eastAsia" w:ascii="宋体" w:hAnsi="宋体"/>
          <w:kern w:val="0"/>
          <w:szCs w:val="20"/>
        </w:rPr>
        <w:t>食用油脂及其制品应在保质期内并具有正常的感官性状，外包装与标签标识应完整、清洁、无破损。</w:t>
      </w:r>
    </w:p>
    <w:p>
      <w:pPr>
        <w:widowControl/>
        <w:autoSpaceDE w:val="0"/>
        <w:autoSpaceDN w:val="0"/>
        <w:spacing w:line="360" w:lineRule="auto"/>
        <w:rPr>
          <w:rFonts w:hint="eastAsia" w:ascii="宋体" w:hAnsi="宋体"/>
          <w:kern w:val="0"/>
          <w:szCs w:val="20"/>
        </w:rPr>
      </w:pPr>
      <w:r>
        <w:rPr>
          <w:rFonts w:hint="eastAsia" w:ascii="黑体" w:hAnsi="黑体" w:eastAsia="黑体" w:cs="黑体"/>
          <w:kern w:val="0"/>
          <w:szCs w:val="20"/>
        </w:rPr>
        <w:t>4.2.</w:t>
      </w:r>
      <w:r>
        <w:rPr>
          <w:rFonts w:hint="eastAsia" w:ascii="黑体" w:hAnsi="黑体" w:eastAsia="黑体" w:cs="黑体"/>
          <w:kern w:val="0"/>
          <w:szCs w:val="20"/>
          <w:lang w:val="en-US" w:eastAsia="zh-CN"/>
        </w:rPr>
        <w:t>4</w:t>
      </w:r>
      <w:r>
        <w:rPr>
          <w:rFonts w:hint="eastAsia" w:ascii="黑体" w:hAnsi="黑体" w:eastAsia="黑体" w:cs="黑体"/>
          <w:kern w:val="0"/>
          <w:szCs w:val="20"/>
        </w:rPr>
        <w:t xml:space="preserve"> </w:t>
      </w:r>
      <w:r>
        <w:rPr>
          <w:rFonts w:hint="eastAsia" w:ascii="宋体" w:hAnsi="宋体"/>
          <w:kern w:val="0"/>
          <w:szCs w:val="20"/>
        </w:rPr>
        <w:t>进货查验其他规定见</w:t>
      </w:r>
      <w:r>
        <w:rPr>
          <w:kern w:val="0"/>
          <w:szCs w:val="20"/>
        </w:rPr>
        <w:t>GB 31654</w:t>
      </w:r>
      <w:r>
        <w:rPr>
          <w:rFonts w:hint="eastAsia" w:ascii="宋体" w:hAnsi="宋体"/>
          <w:kern w:val="0"/>
          <w:szCs w:val="20"/>
        </w:rPr>
        <w:t>。</w:t>
      </w:r>
    </w:p>
    <w:p>
      <w:pPr>
        <w:widowControl/>
        <w:numPr>
          <w:ilvl w:val="1"/>
          <w:numId w:val="0"/>
        </w:numPr>
        <w:spacing w:before="161" w:beforeLines="50" w:after="161" w:afterLines="50"/>
        <w:outlineLvl w:val="1"/>
        <w:rPr>
          <w:rFonts w:hint="eastAsia" w:ascii="黑体" w:hAnsi="宋体" w:eastAsia="黑体"/>
          <w:color w:val="000000"/>
          <w:kern w:val="0"/>
          <w:szCs w:val="20"/>
        </w:rPr>
      </w:pPr>
      <w:r>
        <w:rPr>
          <w:rFonts w:hint="eastAsia" w:ascii="黑体" w:eastAsia="黑体"/>
          <w:color w:val="000000"/>
          <w:szCs w:val="20"/>
        </w:rPr>
        <w:t>4.</w:t>
      </w:r>
      <w:r>
        <w:rPr>
          <w:rFonts w:hint="eastAsia" w:ascii="黑体" w:eastAsia="黑体"/>
          <w:color w:val="000000"/>
          <w:szCs w:val="20"/>
          <w:lang w:val="en-US" w:eastAsia="zh-CN"/>
        </w:rPr>
        <w:t>3</w:t>
      </w:r>
      <w:r>
        <w:rPr>
          <w:rFonts w:hint="eastAsia" w:ascii="黑体" w:eastAsia="黑体"/>
          <w:color w:val="000000"/>
          <w:szCs w:val="20"/>
        </w:rPr>
        <w:t xml:space="preserve"> 贮存</w:t>
      </w:r>
      <w:r>
        <w:rPr>
          <w:rFonts w:hint="eastAsia" w:ascii="黑体" w:hAnsi="宋体" w:eastAsia="黑体"/>
          <w:color w:val="000000"/>
          <w:kern w:val="0"/>
          <w:szCs w:val="20"/>
        </w:rPr>
        <w:t>要求</w:t>
      </w:r>
    </w:p>
    <w:p>
      <w:pPr>
        <w:widowControl/>
        <w:autoSpaceDE w:val="0"/>
        <w:autoSpaceDN w:val="0"/>
        <w:spacing w:line="360" w:lineRule="auto"/>
        <w:rPr>
          <w:rFonts w:hint="eastAsia" w:ascii="宋体" w:hAnsi="宋体" w:cs="宋体"/>
          <w:color w:val="000000"/>
          <w:kern w:val="0"/>
          <w:szCs w:val="20"/>
        </w:rPr>
      </w:pPr>
      <w:r>
        <w:rPr>
          <w:rFonts w:hint="eastAsia" w:ascii="黑体" w:hAnsi="黑体" w:eastAsia="黑体" w:cs="黑体"/>
          <w:color w:val="000000"/>
          <w:kern w:val="0"/>
          <w:szCs w:val="20"/>
        </w:rPr>
        <w:t>4.</w:t>
      </w:r>
      <w:r>
        <w:rPr>
          <w:rFonts w:hint="eastAsia" w:ascii="黑体" w:hAnsi="黑体" w:eastAsia="黑体" w:cs="黑体"/>
          <w:color w:val="000000"/>
          <w:kern w:val="0"/>
          <w:szCs w:val="20"/>
          <w:lang w:val="en-US" w:eastAsia="zh-CN"/>
        </w:rPr>
        <w:t>3</w:t>
      </w:r>
      <w:r>
        <w:rPr>
          <w:rFonts w:hint="eastAsia" w:ascii="黑体" w:hAnsi="黑体" w:eastAsia="黑体" w:cs="黑体"/>
          <w:color w:val="000000"/>
          <w:kern w:val="0"/>
          <w:szCs w:val="20"/>
        </w:rPr>
        <w:t>.1</w:t>
      </w:r>
      <w:r>
        <w:rPr>
          <w:rFonts w:hint="eastAsia" w:ascii="宋体" w:hAnsi="宋体" w:cs="宋体"/>
          <w:color w:val="000000"/>
          <w:kern w:val="0"/>
          <w:szCs w:val="20"/>
        </w:rPr>
        <w:t xml:space="preserve"> 采购的食用油脂及其制品应存放在食品原料仓库或存放食品原料的专用场所，并分类、离墙、离地存放。</w:t>
      </w:r>
    </w:p>
    <w:p>
      <w:pPr>
        <w:widowControl/>
        <w:autoSpaceDE w:val="0"/>
        <w:autoSpaceDN w:val="0"/>
        <w:spacing w:line="360" w:lineRule="auto"/>
        <w:rPr>
          <w:rFonts w:hint="eastAsia" w:ascii="宋体" w:hAnsi="宋体" w:cs="宋体"/>
          <w:color w:val="000000"/>
          <w:kern w:val="0"/>
          <w:szCs w:val="20"/>
        </w:rPr>
      </w:pPr>
      <w:r>
        <w:rPr>
          <w:rFonts w:hint="eastAsia" w:ascii="黑体" w:hAnsi="黑体" w:eastAsia="黑体" w:cs="黑体"/>
          <w:color w:val="000000"/>
          <w:kern w:val="0"/>
          <w:szCs w:val="20"/>
        </w:rPr>
        <w:t>4.</w:t>
      </w:r>
      <w:r>
        <w:rPr>
          <w:rFonts w:hint="eastAsia" w:ascii="黑体" w:hAnsi="黑体" w:eastAsia="黑体" w:cs="黑体"/>
          <w:color w:val="000000"/>
          <w:kern w:val="0"/>
          <w:szCs w:val="20"/>
          <w:lang w:val="en-US" w:eastAsia="zh-CN"/>
        </w:rPr>
        <w:t>3</w:t>
      </w:r>
      <w:r>
        <w:rPr>
          <w:rFonts w:hint="eastAsia" w:ascii="黑体" w:hAnsi="黑体" w:eastAsia="黑体" w:cs="黑体"/>
          <w:color w:val="000000"/>
          <w:kern w:val="0"/>
          <w:szCs w:val="20"/>
        </w:rPr>
        <w:t>.2</w:t>
      </w:r>
      <w:r>
        <w:rPr>
          <w:rFonts w:hint="eastAsia" w:ascii="宋体" w:hAnsi="宋体" w:cs="宋体"/>
          <w:color w:val="000000"/>
          <w:kern w:val="0"/>
          <w:szCs w:val="20"/>
        </w:rPr>
        <w:t xml:space="preserve"> 未开封的食用油脂及其制品应按照标签标示的保存条件和保质期贮存，避免高温和阳光直射；开封后的食用油脂及其制品，应根据实际情况确定适宜的保存条件和保存期限，并尽快使用；遵循先进先出、先开先用的原则使用，避免存放和使用超过保质期的食用油脂及其制品。</w:t>
      </w:r>
    </w:p>
    <w:p>
      <w:pPr>
        <w:widowControl/>
        <w:autoSpaceDE w:val="0"/>
        <w:autoSpaceDN w:val="0"/>
        <w:spacing w:before="161" w:beforeLines="50" w:after="161" w:afterLines="50" w:line="360" w:lineRule="auto"/>
        <w:rPr>
          <w:rFonts w:hint="eastAsia" w:ascii="黑体" w:eastAsia="黑体"/>
          <w:color w:val="000000"/>
          <w:kern w:val="0"/>
          <w:szCs w:val="20"/>
        </w:rPr>
      </w:pPr>
      <w:r>
        <w:rPr>
          <w:rFonts w:hint="eastAsia" w:ascii="黑体" w:eastAsia="黑体"/>
          <w:color w:val="000000"/>
          <w:kern w:val="0"/>
          <w:szCs w:val="20"/>
        </w:rPr>
        <w:t>5  使用要求</w:t>
      </w:r>
    </w:p>
    <w:p>
      <w:pPr>
        <w:widowControl/>
        <w:autoSpaceDE w:val="0"/>
        <w:autoSpaceDN w:val="0"/>
        <w:spacing w:line="360" w:lineRule="auto"/>
        <w:rPr>
          <w:color w:val="000000"/>
          <w:kern w:val="0"/>
          <w:szCs w:val="20"/>
        </w:rPr>
      </w:pPr>
      <w:r>
        <w:rPr>
          <w:rFonts w:hint="eastAsia" w:ascii="黑体" w:hAnsi="黑体" w:eastAsia="黑体" w:cs="黑体"/>
          <w:color w:val="000000"/>
          <w:kern w:val="0"/>
          <w:szCs w:val="20"/>
        </w:rPr>
        <w:t>5.1</w:t>
      </w:r>
      <w:r>
        <w:rPr>
          <w:color w:val="000000"/>
          <w:kern w:val="0"/>
          <w:szCs w:val="20"/>
        </w:rPr>
        <w:t xml:space="preserve"> 餐饮服务提供者应建立煎炸油使用和废弃的管理制度并设专人管理。鼓励餐饮服务提供者制定严于GB 2716标准的废弃标准，保证煎炸食品质量安全。</w:t>
      </w:r>
    </w:p>
    <w:p>
      <w:pPr>
        <w:widowControl/>
        <w:autoSpaceDE w:val="0"/>
        <w:autoSpaceDN w:val="0"/>
        <w:spacing w:line="360" w:lineRule="auto"/>
        <w:rPr>
          <w:color w:val="000000"/>
          <w:kern w:val="0"/>
          <w:szCs w:val="20"/>
        </w:rPr>
      </w:pPr>
      <w:r>
        <w:rPr>
          <w:rFonts w:hint="eastAsia" w:ascii="黑体" w:hAnsi="黑体" w:eastAsia="黑体" w:cs="黑体"/>
          <w:color w:val="000000"/>
          <w:kern w:val="0"/>
          <w:szCs w:val="20"/>
        </w:rPr>
        <w:t>5.2</w:t>
      </w:r>
      <w:r>
        <w:rPr>
          <w:color w:val="000000"/>
          <w:kern w:val="0"/>
          <w:szCs w:val="20"/>
        </w:rPr>
        <w:t xml:space="preserve"> 使用有温度控制功能的煎炸用具，便于控制油温，煎炸时油温不宜超过1</w:t>
      </w:r>
      <w:r>
        <w:rPr>
          <w:rFonts w:hint="eastAsia"/>
          <w:color w:val="000000"/>
          <w:kern w:val="0"/>
          <w:szCs w:val="20"/>
          <w:lang w:val="en-US" w:eastAsia="zh-CN"/>
        </w:rPr>
        <w:t>8</w:t>
      </w:r>
      <w:r>
        <w:rPr>
          <w:color w:val="000000"/>
          <w:kern w:val="0"/>
          <w:szCs w:val="20"/>
        </w:rPr>
        <w:t>0 ℃</w:t>
      </w:r>
      <w:r>
        <w:rPr>
          <w:rFonts w:hint="eastAsia"/>
          <w:color w:val="000000"/>
          <w:kern w:val="0"/>
          <w:szCs w:val="20"/>
        </w:rPr>
        <w:t>；鼓励餐饮服务提供者</w:t>
      </w:r>
      <w:r>
        <w:rPr>
          <w:color w:val="000000"/>
          <w:kern w:val="0"/>
          <w:szCs w:val="20"/>
        </w:rPr>
        <w:t>定期校正温控装置，保证</w:t>
      </w:r>
      <w:r>
        <w:rPr>
          <w:rFonts w:hint="eastAsia"/>
          <w:color w:val="000000"/>
          <w:kern w:val="0"/>
          <w:szCs w:val="20"/>
        </w:rPr>
        <w:t>显示</w:t>
      </w:r>
      <w:r>
        <w:rPr>
          <w:color w:val="000000"/>
          <w:kern w:val="0"/>
          <w:szCs w:val="20"/>
        </w:rPr>
        <w:t>温度与煎锅中的实际温差在1</w:t>
      </w:r>
      <w:r>
        <w:rPr>
          <w:rFonts w:hint="eastAsia"/>
          <w:color w:val="000000"/>
          <w:kern w:val="0"/>
          <w:szCs w:val="20"/>
        </w:rPr>
        <w:t>0</w:t>
      </w:r>
      <w:r>
        <w:rPr>
          <w:color w:val="000000"/>
          <w:kern w:val="0"/>
          <w:szCs w:val="20"/>
        </w:rPr>
        <w:t>℃之内。氢化或固体的煎炸油需要缓慢加热使其全部融化</w:t>
      </w:r>
      <w:r>
        <w:rPr>
          <w:rFonts w:hint="eastAsia"/>
          <w:color w:val="000000"/>
          <w:kern w:val="0"/>
          <w:szCs w:val="20"/>
        </w:rPr>
        <w:t>，</w:t>
      </w:r>
      <w:r>
        <w:rPr>
          <w:color w:val="000000"/>
          <w:kern w:val="0"/>
          <w:szCs w:val="20"/>
        </w:rPr>
        <w:t>避免油脂灼烧。</w:t>
      </w:r>
    </w:p>
    <w:p>
      <w:pPr>
        <w:widowControl/>
        <w:autoSpaceDE w:val="0"/>
        <w:autoSpaceDN w:val="0"/>
        <w:spacing w:line="360" w:lineRule="auto"/>
        <w:rPr>
          <w:color w:val="000000"/>
          <w:kern w:val="0"/>
          <w:szCs w:val="20"/>
        </w:rPr>
      </w:pPr>
      <w:r>
        <w:rPr>
          <w:rFonts w:hint="eastAsia" w:ascii="黑体" w:hAnsi="黑体" w:eastAsia="黑体" w:cs="黑体"/>
          <w:color w:val="000000"/>
          <w:kern w:val="0"/>
          <w:szCs w:val="20"/>
        </w:rPr>
        <w:t>5.3</w:t>
      </w:r>
      <w:r>
        <w:rPr>
          <w:color w:val="000000"/>
          <w:kern w:val="0"/>
          <w:szCs w:val="20"/>
        </w:rPr>
        <w:t xml:space="preserve"> 煎炸前应尽可能减少食物表面的多余水分，减少水分对油品质的影响。</w:t>
      </w:r>
    </w:p>
    <w:p>
      <w:pPr>
        <w:widowControl/>
        <w:autoSpaceDE w:val="0"/>
        <w:autoSpaceDN w:val="0"/>
        <w:spacing w:line="360" w:lineRule="auto"/>
        <w:rPr>
          <w:color w:val="000000"/>
          <w:kern w:val="0"/>
          <w:szCs w:val="20"/>
        </w:rPr>
      </w:pPr>
      <w:r>
        <w:rPr>
          <w:rFonts w:hint="eastAsia" w:ascii="黑体" w:hAnsi="黑体" w:eastAsia="黑体" w:cs="黑体"/>
          <w:color w:val="000000"/>
          <w:kern w:val="0"/>
          <w:szCs w:val="20"/>
        </w:rPr>
        <w:t>5.4</w:t>
      </w:r>
      <w:r>
        <w:rPr>
          <w:color w:val="000000"/>
          <w:kern w:val="0"/>
          <w:szCs w:val="20"/>
        </w:rPr>
        <w:t xml:space="preserve"> 煎炸过程中，当油量不足时，应及时添加新油。添加新油不得以稀释或掩盖在用油的劣变为目的，添加前应确保在用油的品质符合GB 2716标准要求。</w:t>
      </w:r>
    </w:p>
    <w:p>
      <w:pPr>
        <w:widowControl/>
        <w:autoSpaceDE w:val="0"/>
        <w:autoSpaceDN w:val="0"/>
        <w:spacing w:line="360" w:lineRule="auto"/>
        <w:rPr>
          <w:color w:val="000000"/>
          <w:kern w:val="0"/>
          <w:szCs w:val="20"/>
        </w:rPr>
      </w:pPr>
      <w:r>
        <w:rPr>
          <w:rFonts w:hint="eastAsia" w:ascii="黑体" w:hAnsi="黑体" w:eastAsia="黑体" w:cs="黑体"/>
          <w:color w:val="000000"/>
          <w:kern w:val="0"/>
          <w:szCs w:val="20"/>
        </w:rPr>
        <w:t>5.5</w:t>
      </w:r>
      <w:r>
        <w:rPr>
          <w:color w:val="000000"/>
          <w:kern w:val="0"/>
          <w:szCs w:val="20"/>
        </w:rPr>
        <w:t xml:space="preserve"> 煎炸过程中应</w:t>
      </w:r>
      <w:r>
        <w:rPr>
          <w:rFonts w:hint="eastAsia"/>
          <w:color w:val="000000"/>
          <w:kern w:val="0"/>
          <w:szCs w:val="20"/>
          <w:lang w:val="en-US" w:eastAsia="zh-CN"/>
        </w:rPr>
        <w:t>及时</w:t>
      </w:r>
      <w:r>
        <w:rPr>
          <w:color w:val="000000"/>
          <w:kern w:val="0"/>
          <w:szCs w:val="20"/>
        </w:rPr>
        <w:t>采取过滤</w:t>
      </w:r>
      <w:r>
        <w:rPr>
          <w:rFonts w:hint="eastAsia"/>
          <w:color w:val="000000"/>
          <w:kern w:val="0"/>
          <w:szCs w:val="20"/>
        </w:rPr>
        <w:t>、打捞</w:t>
      </w:r>
      <w:r>
        <w:rPr>
          <w:color w:val="000000"/>
          <w:kern w:val="0"/>
          <w:szCs w:val="20"/>
        </w:rPr>
        <w:t>等措施去除油中的食物残渣，减少对</w:t>
      </w:r>
      <w:r>
        <w:rPr>
          <w:rFonts w:hint="eastAsia"/>
          <w:color w:val="000000"/>
          <w:kern w:val="0"/>
          <w:szCs w:val="20"/>
        </w:rPr>
        <w:t>在用</w:t>
      </w:r>
      <w:r>
        <w:rPr>
          <w:color w:val="000000"/>
          <w:kern w:val="0"/>
          <w:szCs w:val="20"/>
        </w:rPr>
        <w:t>油质量的影响，过滤介质应符合食品安全国家标准要求。</w:t>
      </w:r>
    </w:p>
    <w:p>
      <w:pPr>
        <w:widowControl/>
        <w:autoSpaceDE w:val="0"/>
        <w:autoSpaceDN w:val="0"/>
        <w:spacing w:line="360" w:lineRule="auto"/>
        <w:rPr>
          <w:color w:val="000000"/>
          <w:kern w:val="0"/>
          <w:szCs w:val="20"/>
        </w:rPr>
      </w:pPr>
      <w:r>
        <w:rPr>
          <w:rFonts w:hint="eastAsia" w:ascii="黑体" w:hAnsi="黑体" w:eastAsia="黑体" w:cs="黑体"/>
          <w:color w:val="000000"/>
          <w:kern w:val="0"/>
          <w:szCs w:val="20"/>
        </w:rPr>
        <w:t>5.6</w:t>
      </w:r>
      <w:r>
        <w:rPr>
          <w:color w:val="000000"/>
          <w:kern w:val="0"/>
          <w:szCs w:val="20"/>
        </w:rPr>
        <w:t xml:space="preserve"> 应采取合理的措施对在用油的质量进行监测，保证在用油始终符合GB 2716标准要求。</w:t>
      </w:r>
      <w:r>
        <w:rPr>
          <w:rFonts w:hint="eastAsia"/>
          <w:color w:val="000000"/>
          <w:kern w:val="0"/>
          <w:szCs w:val="20"/>
        </w:rPr>
        <w:t>推荐每日</w:t>
      </w:r>
      <w:r>
        <w:rPr>
          <w:color w:val="000000"/>
          <w:kern w:val="0"/>
          <w:szCs w:val="20"/>
        </w:rPr>
        <w:t>采用快速检验方法对在用油的酸价、极性组分等指标进行</w:t>
      </w:r>
      <w:r>
        <w:rPr>
          <w:rFonts w:hint="eastAsia"/>
          <w:color w:val="000000"/>
          <w:kern w:val="0"/>
          <w:szCs w:val="20"/>
          <w:lang w:val="en-US" w:eastAsia="zh-CN"/>
        </w:rPr>
        <w:t>动态监测</w:t>
      </w:r>
      <w:r>
        <w:rPr>
          <w:rFonts w:hint="eastAsia"/>
          <w:color w:val="000000"/>
          <w:kern w:val="0"/>
          <w:szCs w:val="20"/>
        </w:rPr>
        <w:t>。</w:t>
      </w:r>
      <w:r>
        <w:rPr>
          <w:rFonts w:hint="eastAsia"/>
          <w:color w:val="000000"/>
          <w:kern w:val="0"/>
          <w:szCs w:val="20"/>
          <w:lang w:val="en-US" w:eastAsia="zh-CN"/>
        </w:rPr>
        <w:t>当</w:t>
      </w:r>
      <w:r>
        <w:rPr>
          <w:rFonts w:hint="eastAsia"/>
          <w:color w:val="000000"/>
          <w:kern w:val="0"/>
          <w:szCs w:val="20"/>
        </w:rPr>
        <w:t>煎炸油出现下列情形时，应废弃：</w:t>
      </w:r>
    </w:p>
    <w:p>
      <w:pPr>
        <w:widowControl/>
        <w:autoSpaceDE w:val="0"/>
        <w:autoSpaceDN w:val="0"/>
        <w:spacing w:line="360" w:lineRule="auto"/>
        <w:ind w:firstLine="420" w:firstLineChars="200"/>
        <w:rPr>
          <w:color w:val="000000"/>
          <w:kern w:val="0"/>
          <w:szCs w:val="20"/>
        </w:rPr>
      </w:pPr>
      <w:r>
        <w:rPr>
          <w:color w:val="000000"/>
          <w:kern w:val="0"/>
          <w:szCs w:val="20"/>
        </w:rPr>
        <w:t>a) 在用油酸价</w:t>
      </w:r>
      <w:r>
        <w:rPr>
          <w:rFonts w:hint="eastAsia"/>
          <w:color w:val="000000"/>
          <w:kern w:val="0"/>
          <w:szCs w:val="20"/>
        </w:rPr>
        <w:t>（KOH）超过5mg/g、或者</w:t>
      </w:r>
      <w:r>
        <w:rPr>
          <w:color w:val="000000"/>
          <w:kern w:val="0"/>
          <w:szCs w:val="20"/>
        </w:rPr>
        <w:t>极性组分</w:t>
      </w:r>
      <w:r>
        <w:rPr>
          <w:rFonts w:hint="eastAsia"/>
          <w:color w:val="000000"/>
          <w:kern w:val="0"/>
          <w:szCs w:val="20"/>
        </w:rPr>
        <w:t>超过27%时</w:t>
      </w:r>
      <w:r>
        <w:rPr>
          <w:color w:val="000000"/>
          <w:kern w:val="0"/>
          <w:szCs w:val="20"/>
        </w:rPr>
        <w:t>。</w:t>
      </w:r>
    </w:p>
    <w:p>
      <w:pPr>
        <w:widowControl/>
        <w:autoSpaceDE w:val="0"/>
        <w:autoSpaceDN w:val="0"/>
        <w:spacing w:line="360" w:lineRule="auto"/>
        <w:ind w:firstLine="420" w:firstLineChars="200"/>
        <w:rPr>
          <w:color w:val="000000"/>
          <w:kern w:val="0"/>
          <w:szCs w:val="20"/>
        </w:rPr>
      </w:pPr>
      <w:r>
        <w:rPr>
          <w:color w:val="000000"/>
          <w:kern w:val="0"/>
          <w:szCs w:val="20"/>
        </w:rPr>
        <w:t>b) 无法实施监测措施的，煎炸油的使用期限超过3天；连续煎炸食品且不添加新油时，累计使用</w:t>
      </w:r>
      <w:r>
        <w:rPr>
          <w:rFonts w:hint="eastAsia"/>
          <w:color w:val="000000"/>
          <w:kern w:val="0"/>
          <w:szCs w:val="20"/>
        </w:rPr>
        <w:t>时间</w:t>
      </w:r>
      <w:r>
        <w:rPr>
          <w:color w:val="000000"/>
          <w:kern w:val="0"/>
          <w:szCs w:val="20"/>
        </w:rPr>
        <w:t>超过8小时。</w:t>
      </w:r>
    </w:p>
    <w:p>
      <w:pPr>
        <w:widowControl/>
        <w:autoSpaceDE w:val="0"/>
        <w:autoSpaceDN w:val="0"/>
        <w:spacing w:line="360" w:lineRule="auto"/>
        <w:ind w:firstLine="420" w:firstLineChars="200"/>
        <w:rPr>
          <w:color w:val="000000"/>
          <w:kern w:val="0"/>
          <w:szCs w:val="20"/>
        </w:rPr>
      </w:pPr>
      <w:r>
        <w:rPr>
          <w:color w:val="000000"/>
          <w:kern w:val="0"/>
          <w:szCs w:val="20"/>
        </w:rPr>
        <w:t>c) 当在用油颜色变暗、变稠、出现刺鼻味道、油温在150 ℃～180℃时开始出现冒烟</w:t>
      </w:r>
      <w:r>
        <w:rPr>
          <w:rFonts w:hint="eastAsia"/>
          <w:color w:val="000000"/>
          <w:kern w:val="0"/>
          <w:szCs w:val="20"/>
        </w:rPr>
        <w:t>、</w:t>
      </w:r>
      <w:r>
        <w:rPr>
          <w:color w:val="000000"/>
          <w:kern w:val="0"/>
          <w:szCs w:val="20"/>
        </w:rPr>
        <w:t>不易消散的奶白色泡沫或煎炸食品的外观和口味</w:t>
      </w:r>
      <w:r>
        <w:rPr>
          <w:rFonts w:hint="eastAsia"/>
          <w:color w:val="000000"/>
          <w:kern w:val="0"/>
          <w:szCs w:val="20"/>
        </w:rPr>
        <w:t>异常</w:t>
      </w:r>
      <w:r>
        <w:rPr>
          <w:color w:val="000000"/>
          <w:kern w:val="0"/>
          <w:szCs w:val="20"/>
        </w:rPr>
        <w:t>时。</w:t>
      </w:r>
    </w:p>
    <w:p>
      <w:pPr>
        <w:widowControl/>
        <w:autoSpaceDE w:val="0"/>
        <w:autoSpaceDN w:val="0"/>
        <w:spacing w:line="360" w:lineRule="auto"/>
        <w:rPr>
          <w:color w:val="000000"/>
          <w:kern w:val="0"/>
          <w:szCs w:val="20"/>
        </w:rPr>
      </w:pPr>
      <w:r>
        <w:rPr>
          <w:rFonts w:hint="eastAsia" w:ascii="黑体" w:hAnsi="黑体" w:eastAsia="黑体" w:cs="黑体"/>
          <w:color w:val="000000"/>
          <w:kern w:val="0"/>
          <w:szCs w:val="20"/>
        </w:rPr>
        <w:t>5.7</w:t>
      </w:r>
      <w:r>
        <w:rPr>
          <w:rFonts w:hint="eastAsia"/>
          <w:color w:val="000000"/>
          <w:kern w:val="0"/>
          <w:szCs w:val="20"/>
        </w:rPr>
        <w:t xml:space="preserve"> </w:t>
      </w:r>
      <w:r>
        <w:rPr>
          <w:color w:val="000000"/>
          <w:kern w:val="0"/>
          <w:szCs w:val="20"/>
        </w:rPr>
        <w:t>与</w:t>
      </w:r>
      <w:r>
        <w:rPr>
          <w:rFonts w:hint="eastAsia"/>
          <w:color w:val="000000"/>
          <w:kern w:val="0"/>
          <w:szCs w:val="20"/>
        </w:rPr>
        <w:t>煎</w:t>
      </w:r>
      <w:r>
        <w:rPr>
          <w:color w:val="000000"/>
          <w:kern w:val="0"/>
          <w:szCs w:val="20"/>
        </w:rPr>
        <w:t>炸油直接接触的设备、工具内表面应为耐腐蚀、耐高温的材质（如不锈钢等）</w:t>
      </w:r>
      <w:r>
        <w:rPr>
          <w:rFonts w:hint="eastAsia"/>
          <w:color w:val="000000"/>
          <w:kern w:val="0"/>
          <w:szCs w:val="20"/>
        </w:rPr>
        <w:t>，</w:t>
      </w:r>
      <w:r>
        <w:rPr>
          <w:color w:val="000000"/>
          <w:kern w:val="0"/>
          <w:szCs w:val="20"/>
        </w:rPr>
        <w:t>定期</w:t>
      </w:r>
      <w:r>
        <w:rPr>
          <w:rFonts w:hint="eastAsia"/>
          <w:color w:val="000000"/>
          <w:kern w:val="0"/>
          <w:szCs w:val="20"/>
        </w:rPr>
        <w:t>清洁维护</w:t>
      </w:r>
      <w:r>
        <w:rPr>
          <w:color w:val="000000"/>
          <w:kern w:val="0"/>
          <w:szCs w:val="20"/>
        </w:rPr>
        <w:t>油炸设备。</w:t>
      </w:r>
    </w:p>
    <w:p>
      <w:pPr>
        <w:widowControl/>
        <w:autoSpaceDE w:val="0"/>
        <w:autoSpaceDN w:val="0"/>
        <w:spacing w:line="360" w:lineRule="auto"/>
        <w:rPr>
          <w:color w:val="000000"/>
          <w:kern w:val="0"/>
          <w:szCs w:val="20"/>
        </w:rPr>
      </w:pPr>
      <w:r>
        <w:rPr>
          <w:rFonts w:hint="eastAsia" w:ascii="黑体" w:hAnsi="黑体" w:eastAsia="黑体" w:cs="黑体"/>
          <w:color w:val="000000"/>
          <w:kern w:val="0"/>
          <w:szCs w:val="20"/>
        </w:rPr>
        <w:t>5.8</w:t>
      </w:r>
      <w:r>
        <w:rPr>
          <w:rFonts w:hint="eastAsia"/>
          <w:color w:val="000000"/>
          <w:kern w:val="0"/>
          <w:szCs w:val="20"/>
        </w:rPr>
        <w:t xml:space="preserve"> 使用过程中的煎炸油</w:t>
      </w:r>
      <w:r>
        <w:rPr>
          <w:color w:val="000000"/>
          <w:kern w:val="0"/>
          <w:szCs w:val="20"/>
        </w:rPr>
        <w:t>不得使用PVC塑</w:t>
      </w:r>
      <w:r>
        <w:rPr>
          <w:rFonts w:hint="eastAsia" w:ascii="宋体" w:hAnsi="宋体"/>
          <w:color w:val="000000"/>
          <w:kern w:val="0"/>
          <w:szCs w:val="20"/>
        </w:rPr>
        <w:t>料制品</w:t>
      </w:r>
      <w:r>
        <w:rPr>
          <w:rFonts w:hint="eastAsia"/>
          <w:color w:val="000000"/>
          <w:kern w:val="0"/>
          <w:szCs w:val="20"/>
        </w:rPr>
        <w:t>或</w:t>
      </w:r>
      <w:r>
        <w:rPr>
          <w:color w:val="000000"/>
          <w:kern w:val="0"/>
          <w:szCs w:val="20"/>
        </w:rPr>
        <w:t>回收容器</w:t>
      </w:r>
      <w:r>
        <w:rPr>
          <w:rFonts w:hint="eastAsia" w:ascii="宋体" w:hAnsi="宋体"/>
          <w:color w:val="000000"/>
          <w:kern w:val="0"/>
          <w:szCs w:val="20"/>
        </w:rPr>
        <w:t>盛装。</w:t>
      </w:r>
    </w:p>
    <w:bookmarkEnd w:id="21"/>
    <w:p>
      <w:pPr>
        <w:widowControl/>
        <w:autoSpaceDE w:val="0"/>
        <w:autoSpaceDN w:val="0"/>
        <w:spacing w:before="161" w:beforeLines="50" w:after="161" w:afterLines="50" w:line="360" w:lineRule="auto"/>
        <w:rPr>
          <w:rFonts w:hint="eastAsia" w:ascii="黑体" w:eastAsia="黑体"/>
          <w:color w:val="000000"/>
          <w:kern w:val="0"/>
          <w:szCs w:val="20"/>
        </w:rPr>
      </w:pPr>
      <w:bookmarkStart w:id="43" w:name="BookMark5"/>
      <w:r>
        <w:rPr>
          <w:rFonts w:hint="eastAsia" w:ascii="黑体" w:eastAsia="黑体"/>
          <w:color w:val="000000"/>
          <w:kern w:val="0"/>
          <w:szCs w:val="20"/>
        </w:rPr>
        <w:t>6　废弃油处置</w:t>
      </w:r>
    </w:p>
    <w:p>
      <w:pPr>
        <w:widowControl/>
        <w:autoSpaceDE w:val="0"/>
        <w:autoSpaceDN w:val="0"/>
        <w:spacing w:line="360" w:lineRule="auto"/>
        <w:rPr>
          <w:rFonts w:hint="eastAsia" w:ascii="宋体" w:hAnsi="宋体" w:cs="宋体"/>
          <w:color w:val="000000"/>
          <w:kern w:val="0"/>
          <w:szCs w:val="20"/>
        </w:rPr>
      </w:pPr>
      <w:r>
        <w:rPr>
          <w:rFonts w:hint="eastAsia" w:ascii="黑体" w:hAnsi="黑体" w:eastAsia="黑体" w:cs="黑体"/>
          <w:color w:val="000000"/>
          <w:kern w:val="0"/>
          <w:szCs w:val="20"/>
        </w:rPr>
        <w:t>6.1</w:t>
      </w:r>
      <w:r>
        <w:rPr>
          <w:rFonts w:hint="eastAsia" w:ascii="宋体" w:hAnsi="宋体" w:cs="宋体"/>
          <w:color w:val="000000"/>
          <w:kern w:val="0"/>
          <w:szCs w:val="20"/>
        </w:rPr>
        <w:t xml:space="preserve"> 餐饮服务提供者应指定专人负责管理废弃油，严禁废弃油进入食品生产经营环节，鼓励建立废弃油处置管理制度。</w:t>
      </w:r>
    </w:p>
    <w:p>
      <w:pPr>
        <w:widowControl/>
        <w:autoSpaceDE w:val="0"/>
        <w:autoSpaceDN w:val="0"/>
        <w:spacing w:line="360" w:lineRule="auto"/>
        <w:rPr>
          <w:rFonts w:hint="eastAsia" w:ascii="宋体" w:hAnsi="宋体" w:cs="宋体"/>
          <w:color w:val="000000"/>
          <w:kern w:val="0"/>
          <w:szCs w:val="20"/>
        </w:rPr>
      </w:pPr>
      <w:r>
        <w:rPr>
          <w:rFonts w:hint="eastAsia" w:ascii="黑体" w:hAnsi="黑体" w:eastAsia="黑体" w:cs="黑体"/>
          <w:color w:val="000000"/>
          <w:kern w:val="0"/>
          <w:szCs w:val="20"/>
        </w:rPr>
        <w:t>6.2</w:t>
      </w:r>
      <w:r>
        <w:rPr>
          <w:rFonts w:hint="eastAsia" w:ascii="宋体" w:hAnsi="宋体" w:cs="宋体"/>
          <w:color w:val="000000"/>
          <w:kern w:val="0"/>
          <w:szCs w:val="20"/>
        </w:rPr>
        <w:t xml:space="preserve"> 餐饮服务提供者应根据供餐量配备相应数量的专门容器盛放废弃油</w:t>
      </w:r>
      <w:r>
        <w:rPr>
          <w:rFonts w:hint="eastAsia" w:ascii="宋体" w:hAnsi="宋体" w:cs="宋体"/>
          <w:color w:val="000000"/>
          <w:kern w:val="0"/>
          <w:szCs w:val="20"/>
          <w:lang w:eastAsia="zh-CN"/>
        </w:rPr>
        <w:t>；</w:t>
      </w:r>
      <w:r>
        <w:rPr>
          <w:rFonts w:hint="eastAsia" w:ascii="宋体" w:hAnsi="宋体" w:cs="宋体"/>
          <w:color w:val="000000"/>
          <w:kern w:val="0"/>
          <w:szCs w:val="20"/>
          <w:lang w:val="en-US" w:eastAsia="zh-CN"/>
        </w:rPr>
        <w:t>废弃油应与其它水相厨余垃圾分类存放，油水分离</w:t>
      </w:r>
      <w:r>
        <w:rPr>
          <w:rFonts w:hint="eastAsia" w:ascii="宋体" w:hAnsi="宋体" w:cs="宋体"/>
          <w:color w:val="000000"/>
          <w:kern w:val="0"/>
          <w:szCs w:val="20"/>
        </w:rPr>
        <w:t>。废弃油盛放容器应置于食品贮存、加工及烹饪区外的固定位置，并有明显标识，防止误用。</w:t>
      </w:r>
    </w:p>
    <w:p>
      <w:pPr>
        <w:widowControl/>
        <w:autoSpaceDE w:val="0"/>
        <w:autoSpaceDN w:val="0"/>
        <w:spacing w:line="360" w:lineRule="auto"/>
        <w:rPr>
          <w:rFonts w:hint="eastAsia" w:ascii="宋体" w:hAnsi="宋体" w:cs="宋体"/>
          <w:color w:val="000000"/>
          <w:kern w:val="0"/>
          <w:szCs w:val="20"/>
        </w:rPr>
      </w:pPr>
      <w:r>
        <w:rPr>
          <w:rFonts w:hint="eastAsia" w:ascii="黑体" w:hAnsi="黑体" w:eastAsia="黑体" w:cs="黑体"/>
          <w:color w:val="000000"/>
          <w:kern w:val="0"/>
          <w:szCs w:val="20"/>
        </w:rPr>
        <w:t>6.3</w:t>
      </w:r>
      <w:r>
        <w:rPr>
          <w:rFonts w:hint="eastAsia" w:ascii="宋体" w:hAnsi="宋体" w:cs="宋体"/>
          <w:color w:val="000000"/>
          <w:kern w:val="0"/>
          <w:szCs w:val="20"/>
        </w:rPr>
        <w:t xml:space="preserve"> 废弃油应交由有资质的收运处置单位回收，餐饮服务提供者应索取并留存收运者的资质证明复印件（需加盖收运者公章或由收运者签字），并与其签订收运合同，明确各自的食品安全责任和义务。</w:t>
      </w:r>
    </w:p>
    <w:p>
      <w:pPr>
        <w:widowControl/>
        <w:autoSpaceDE w:val="0"/>
        <w:autoSpaceDN w:val="0"/>
        <w:spacing w:line="360" w:lineRule="auto"/>
        <w:rPr>
          <w:rFonts w:hint="eastAsia" w:ascii="宋体" w:hAnsi="宋体" w:cs="宋体"/>
          <w:color w:val="000000"/>
          <w:kern w:val="0"/>
          <w:szCs w:val="20"/>
        </w:rPr>
      </w:pPr>
      <w:r>
        <w:rPr>
          <w:rFonts w:hint="eastAsia" w:ascii="黑体" w:hAnsi="黑体" w:eastAsia="黑体" w:cs="黑体"/>
          <w:color w:val="000000"/>
          <w:kern w:val="0"/>
          <w:szCs w:val="20"/>
        </w:rPr>
        <w:t>6.4</w:t>
      </w:r>
      <w:r>
        <w:rPr>
          <w:rFonts w:hint="eastAsia" w:ascii="宋体" w:hAnsi="宋体" w:cs="宋体"/>
          <w:color w:val="000000"/>
          <w:kern w:val="0"/>
          <w:szCs w:val="20"/>
        </w:rPr>
        <w:t xml:space="preserve"> 餐饮服务提供者应建</w:t>
      </w:r>
      <w:r>
        <w:rPr>
          <w:rFonts w:hint="eastAsia" w:ascii="宋体" w:hAnsi="宋体" w:cs="宋体"/>
          <w:kern w:val="0"/>
          <w:szCs w:val="20"/>
        </w:rPr>
        <w:t>立废弃油处置台账，如</w:t>
      </w:r>
      <w:r>
        <w:rPr>
          <w:rFonts w:hint="eastAsia" w:ascii="宋体" w:hAnsi="宋体" w:cs="宋体"/>
          <w:color w:val="000000"/>
          <w:kern w:val="0"/>
          <w:szCs w:val="20"/>
        </w:rPr>
        <w:t>实记录废弃油的处置时间、数量、收运者等信息。</w:t>
      </w:r>
    </w:p>
    <w:p>
      <w:pPr>
        <w:widowControl/>
        <w:autoSpaceDE w:val="0"/>
        <w:autoSpaceDN w:val="0"/>
        <w:spacing w:before="161" w:beforeLines="50" w:after="161" w:afterLines="50" w:line="360" w:lineRule="auto"/>
        <w:rPr>
          <w:rFonts w:hint="eastAsia" w:ascii="黑体" w:eastAsia="黑体"/>
          <w:color w:val="000000"/>
          <w:kern w:val="0"/>
          <w:szCs w:val="20"/>
        </w:rPr>
      </w:pPr>
      <w:r>
        <w:rPr>
          <w:rFonts w:hint="eastAsia" w:ascii="黑体" w:eastAsia="黑体"/>
          <w:color w:val="000000"/>
          <w:kern w:val="0"/>
          <w:szCs w:val="20"/>
        </w:rPr>
        <w:t>7　记录保存</w:t>
      </w:r>
    </w:p>
    <w:p>
      <w:pPr>
        <w:widowControl/>
        <w:autoSpaceDE w:val="0"/>
        <w:autoSpaceDN w:val="0"/>
        <w:spacing w:line="360" w:lineRule="auto"/>
        <w:ind w:firstLine="420" w:firstLineChars="200"/>
        <w:rPr>
          <w:rFonts w:hint="eastAsia" w:ascii="宋体" w:hAnsi="宋体" w:cs="宋体"/>
          <w:color w:val="000000"/>
          <w:kern w:val="0"/>
          <w:szCs w:val="20"/>
        </w:rPr>
      </w:pPr>
      <w:r>
        <w:rPr>
          <w:rFonts w:hint="eastAsia" w:ascii="宋体" w:hAnsi="宋体" w:cs="宋体"/>
          <w:color w:val="000000"/>
          <w:kern w:val="0"/>
          <w:szCs w:val="20"/>
        </w:rPr>
        <w:t>应对食用油脂</w:t>
      </w:r>
      <w:r>
        <w:rPr>
          <w:rFonts w:hint="eastAsia" w:ascii="宋体" w:hAnsi="宋体" w:cs="宋体"/>
          <w:color w:val="000000"/>
          <w:kern w:val="0"/>
          <w:szCs w:val="20"/>
          <w:lang w:val="en-US" w:eastAsia="zh-CN"/>
        </w:rPr>
        <w:t>及其制品</w:t>
      </w:r>
      <w:r>
        <w:rPr>
          <w:rFonts w:hint="eastAsia" w:ascii="宋体" w:hAnsi="宋体" w:cs="宋体"/>
          <w:color w:val="000000"/>
          <w:kern w:val="0"/>
          <w:szCs w:val="20"/>
        </w:rPr>
        <w:t>采购、入库查验、出库、使用以及废弃油处置等环节进行记录。记录内容应完整、真实，进货查验记录保存期限不得少于产品保质期满后六个月，其他记录保存期限不少于两年。鼓励采用信息化等技术手段进行记录和文件管理，记录包括但不限于以下内容：</w:t>
      </w:r>
    </w:p>
    <w:p>
      <w:pPr>
        <w:widowControl/>
        <w:autoSpaceDE w:val="0"/>
        <w:autoSpaceDN w:val="0"/>
        <w:spacing w:line="360" w:lineRule="auto"/>
        <w:ind w:firstLine="420" w:firstLineChars="200"/>
        <w:rPr>
          <w:rFonts w:hint="eastAsia" w:ascii="宋体" w:hAnsi="宋体" w:cs="宋体"/>
          <w:color w:val="000000"/>
          <w:kern w:val="0"/>
          <w:szCs w:val="20"/>
        </w:rPr>
      </w:pPr>
      <w:r>
        <w:rPr>
          <w:color w:val="000000"/>
          <w:kern w:val="0"/>
          <w:szCs w:val="20"/>
        </w:rPr>
        <w:t xml:space="preserve">a) </w:t>
      </w:r>
      <w:r>
        <w:rPr>
          <w:rFonts w:hint="eastAsia" w:ascii="宋体" w:hAnsi="宋体" w:cs="宋体"/>
          <w:color w:val="000000"/>
          <w:kern w:val="0"/>
          <w:szCs w:val="20"/>
        </w:rPr>
        <w:t>原料进货查验记录；</w:t>
      </w:r>
    </w:p>
    <w:p>
      <w:pPr>
        <w:widowControl/>
        <w:autoSpaceDE w:val="0"/>
        <w:autoSpaceDN w:val="0"/>
        <w:spacing w:line="360" w:lineRule="auto"/>
        <w:ind w:firstLine="420" w:firstLineChars="200"/>
        <w:rPr>
          <w:rFonts w:hint="eastAsia" w:ascii="宋体" w:hAnsi="宋体" w:cs="宋体"/>
          <w:color w:val="000000"/>
          <w:kern w:val="0"/>
          <w:szCs w:val="20"/>
        </w:rPr>
      </w:pPr>
      <w:r>
        <w:rPr>
          <w:color w:val="000000"/>
          <w:kern w:val="0"/>
          <w:szCs w:val="20"/>
        </w:rPr>
        <w:t xml:space="preserve">b) </w:t>
      </w:r>
      <w:r>
        <w:rPr>
          <w:rFonts w:hint="eastAsia" w:ascii="宋体" w:hAnsi="宋体" w:cs="宋体"/>
          <w:color w:val="000000"/>
          <w:kern w:val="0"/>
          <w:szCs w:val="20"/>
        </w:rPr>
        <w:t>原料出库记录；</w:t>
      </w:r>
    </w:p>
    <w:p>
      <w:pPr>
        <w:widowControl/>
        <w:autoSpaceDE w:val="0"/>
        <w:autoSpaceDN w:val="0"/>
        <w:spacing w:line="360" w:lineRule="auto"/>
        <w:ind w:firstLine="420" w:firstLineChars="200"/>
        <w:rPr>
          <w:rFonts w:hint="eastAsia" w:ascii="宋体" w:hAnsi="宋体" w:cs="宋体"/>
          <w:color w:val="000000"/>
          <w:kern w:val="0"/>
          <w:szCs w:val="20"/>
        </w:rPr>
        <w:sectPr>
          <w:pgSz w:w="11906" w:h="16838"/>
          <w:pgMar w:top="1417" w:right="1134" w:bottom="1134" w:left="1417" w:header="907" w:footer="1134" w:gutter="0"/>
          <w:cols w:space="720" w:num="1"/>
          <w:formProt w:val="0"/>
          <w:docGrid w:type="lines" w:linePitch="322" w:charSpace="0"/>
        </w:sectPr>
      </w:pPr>
      <w:r>
        <w:rPr>
          <w:color w:val="000000"/>
          <w:kern w:val="0"/>
          <w:szCs w:val="20"/>
        </w:rPr>
        <w:t xml:space="preserve">c) </w:t>
      </w:r>
      <w:r>
        <w:rPr>
          <w:rFonts w:hint="eastAsia" w:ascii="宋体" w:hAnsi="宋体" w:cs="宋体"/>
          <w:color w:val="000000"/>
          <w:kern w:val="0"/>
          <w:szCs w:val="20"/>
        </w:rPr>
        <w:t>废弃油处置记录</w:t>
      </w:r>
    </w:p>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附录A</w:t>
      </w:r>
    </w:p>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w:t>
      </w:r>
      <w:r>
        <w:rPr>
          <w:rFonts w:hint="eastAsia" w:ascii="黑体" w:hAnsi="黑体" w:eastAsia="黑体"/>
          <w:color w:val="000000"/>
          <w:kern w:val="0"/>
          <w:szCs w:val="21"/>
        </w:rPr>
        <w:t>资料性</w:t>
      </w:r>
      <w:r>
        <w:rPr>
          <w:rFonts w:hint="eastAsia" w:ascii="黑体" w:hAnsi="黑体" w:eastAsia="黑体"/>
          <w:color w:val="000000"/>
          <w:kern w:val="0"/>
          <w:szCs w:val="21"/>
          <w:lang w:val="zh-CN"/>
        </w:rPr>
        <w:t>）</w:t>
      </w:r>
    </w:p>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rPr>
        <w:t xml:space="preserve">表A.1 </w:t>
      </w:r>
      <w:r>
        <w:rPr>
          <w:rFonts w:hint="eastAsia" w:ascii="黑体" w:hAnsi="黑体" w:eastAsia="黑体"/>
          <w:color w:val="000000"/>
          <w:kern w:val="0"/>
          <w:szCs w:val="21"/>
          <w:lang w:val="zh-CN"/>
        </w:rPr>
        <w:t>食用油入库查验</w:t>
      </w:r>
      <w:r>
        <w:rPr>
          <w:rFonts w:hint="eastAsia" w:ascii="黑体" w:hAnsi="黑体" w:eastAsia="黑体"/>
          <w:color w:val="000000"/>
          <w:kern w:val="0"/>
          <w:szCs w:val="21"/>
        </w:rPr>
        <w:t>与出库</w:t>
      </w:r>
      <w:r>
        <w:rPr>
          <w:rFonts w:hint="eastAsia" w:ascii="黑体" w:hAnsi="黑体" w:eastAsia="黑体"/>
          <w:color w:val="000000"/>
          <w:kern w:val="0"/>
          <w:szCs w:val="21"/>
          <w:lang w:val="zh-CN"/>
        </w:rPr>
        <w:t>记录表格</w:t>
      </w:r>
      <w:bookmarkStart w:id="44" w:name="_Toc517618352"/>
      <w:r>
        <w:rPr>
          <w:rFonts w:hint="eastAsia" w:ascii="黑体" w:hAnsi="黑体" w:eastAsia="黑体"/>
          <w:color w:val="000000"/>
          <w:kern w:val="0"/>
          <w:szCs w:val="21"/>
          <w:lang w:val="zh-CN"/>
        </w:rPr>
        <w:t>示例</w:t>
      </w:r>
      <w:bookmarkEnd w:id="44"/>
    </w:p>
    <w:p>
      <w:pPr>
        <w:pStyle w:val="56"/>
        <w:ind w:firstLine="420"/>
      </w:pPr>
    </w:p>
    <w:p>
      <w:pPr>
        <w:pStyle w:val="56"/>
        <w:ind w:firstLine="420"/>
      </w:pPr>
    </w:p>
    <w:tbl>
      <w:tblPr>
        <w:tblStyle w:val="26"/>
        <w:tblpPr w:leftFromText="180" w:rightFromText="180" w:vertAnchor="text" w:tblpY="1"/>
        <w:tblOverlap w:val="never"/>
        <w:tblW w:w="6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882"/>
        <w:gridCol w:w="920"/>
        <w:gridCol w:w="920"/>
        <w:gridCol w:w="920"/>
        <w:gridCol w:w="9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28" w:type="dxa"/>
            <w:gridSpan w:val="2"/>
            <w:noWrap w:val="0"/>
            <w:textDirection w:val="btLr"/>
            <w:vAlign w:val="center"/>
          </w:tcPr>
          <w:p>
            <w:pPr>
              <w:ind w:left="113" w:right="113"/>
              <w:jc w:val="center"/>
              <w:rPr>
                <w:rFonts w:ascii="黑体" w:hAnsi="黑体" w:eastAsia="黑体"/>
                <w:sz w:val="22"/>
                <w:szCs w:val="22"/>
              </w:rPr>
            </w:pPr>
            <w:r>
              <w:rPr>
                <w:rFonts w:hint="eastAsia" w:ascii="黑体" w:hAnsi="黑体" w:eastAsia="黑体"/>
                <w:sz w:val="22"/>
                <w:szCs w:val="22"/>
              </w:rPr>
              <w:t>记录人</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8" w:type="dxa"/>
            <w:gridSpan w:val="2"/>
            <w:noWrap w:val="0"/>
            <w:textDirection w:val="btLr"/>
            <w:vAlign w:val="center"/>
          </w:tcPr>
          <w:p>
            <w:pPr>
              <w:ind w:left="113" w:right="113"/>
              <w:jc w:val="center"/>
              <w:rPr>
                <w:rFonts w:ascii="黑体" w:hAnsi="黑体" w:eastAsia="黑体"/>
                <w:sz w:val="22"/>
                <w:szCs w:val="22"/>
              </w:rPr>
            </w:pPr>
            <w:r>
              <w:rPr>
                <w:rFonts w:hint="eastAsia" w:ascii="黑体" w:hAnsi="黑体" w:eastAsia="黑体"/>
                <w:sz w:val="22"/>
                <w:szCs w:val="22"/>
              </w:rPr>
              <w:t>出库日期</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46" w:type="dxa"/>
            <w:vMerge w:val="restart"/>
            <w:noWrap w:val="0"/>
            <w:textDirection w:val="btLr"/>
            <w:vAlign w:val="center"/>
          </w:tcPr>
          <w:p>
            <w:pPr>
              <w:ind w:left="113" w:right="113"/>
              <w:jc w:val="center"/>
              <w:rPr>
                <w:rFonts w:hint="eastAsia" w:ascii="黑体" w:hAnsi="黑体" w:eastAsia="黑体"/>
                <w:sz w:val="18"/>
                <w:szCs w:val="22"/>
              </w:rPr>
            </w:pPr>
            <w:r>
              <w:rPr>
                <w:rFonts w:hint="eastAsia" w:ascii="黑体" w:hAnsi="黑体" w:eastAsia="黑体"/>
                <w:sz w:val="18"/>
                <w:szCs w:val="22"/>
              </w:rPr>
              <w:t>入库检查</w:t>
            </w:r>
          </w:p>
        </w:tc>
        <w:tc>
          <w:tcPr>
            <w:tcW w:w="882" w:type="dxa"/>
            <w:noWrap w:val="0"/>
            <w:textDirection w:val="btLr"/>
            <w:vAlign w:val="center"/>
          </w:tcPr>
          <w:p>
            <w:pPr>
              <w:ind w:left="113" w:right="113"/>
              <w:jc w:val="center"/>
              <w:rPr>
                <w:rFonts w:hint="eastAsia" w:ascii="黑体" w:hAnsi="黑体" w:eastAsia="黑体"/>
                <w:sz w:val="22"/>
                <w:szCs w:val="22"/>
              </w:rPr>
            </w:pPr>
            <w:r>
              <w:rPr>
                <w:rFonts w:hint="eastAsia" w:ascii="黑体" w:hAnsi="黑体" w:eastAsia="黑体"/>
                <w:sz w:val="22"/>
                <w:szCs w:val="22"/>
              </w:rPr>
              <w:t>外观检查</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vMerge w:val="continue"/>
            <w:noWrap w:val="0"/>
            <w:textDirection w:val="btLr"/>
            <w:vAlign w:val="center"/>
          </w:tcPr>
          <w:p>
            <w:pPr>
              <w:ind w:left="113" w:right="113"/>
              <w:jc w:val="center"/>
              <w:rPr>
                <w:rFonts w:ascii="黑体" w:hAnsi="黑体" w:eastAsia="黑体"/>
                <w:sz w:val="18"/>
                <w:szCs w:val="22"/>
              </w:rPr>
            </w:pPr>
          </w:p>
        </w:tc>
        <w:tc>
          <w:tcPr>
            <w:tcW w:w="882" w:type="dxa"/>
            <w:noWrap w:val="0"/>
            <w:textDirection w:val="btLr"/>
            <w:vAlign w:val="center"/>
          </w:tcPr>
          <w:p>
            <w:pPr>
              <w:ind w:left="113" w:right="113"/>
              <w:jc w:val="center"/>
              <w:rPr>
                <w:rFonts w:hint="eastAsia" w:ascii="黑体" w:hAnsi="黑体" w:eastAsia="黑体"/>
                <w:sz w:val="22"/>
                <w:szCs w:val="22"/>
              </w:rPr>
            </w:pPr>
            <w:r>
              <w:rPr>
                <w:rFonts w:hint="eastAsia" w:ascii="黑体" w:hAnsi="黑体" w:eastAsia="黑体"/>
                <w:sz w:val="22"/>
                <w:szCs w:val="22"/>
              </w:rPr>
              <w:t>标签检查</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6" w:type="dxa"/>
            <w:vMerge w:val="restart"/>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随货证明文件查验</w:t>
            </w:r>
          </w:p>
        </w:tc>
        <w:tc>
          <w:tcPr>
            <w:tcW w:w="882" w:type="dxa"/>
            <w:noWrap w:val="0"/>
            <w:textDirection w:val="btLr"/>
            <w:vAlign w:val="center"/>
          </w:tcPr>
          <w:p>
            <w:pPr>
              <w:ind w:left="113" w:right="113"/>
              <w:jc w:val="center"/>
              <w:rPr>
                <w:rFonts w:hint="eastAsia" w:ascii="黑体" w:hAnsi="黑体" w:eastAsia="黑体"/>
                <w:sz w:val="22"/>
                <w:szCs w:val="22"/>
              </w:rPr>
            </w:pPr>
            <w:r>
              <w:rPr>
                <w:rFonts w:hint="eastAsia" w:ascii="黑体" w:hAnsi="黑体" w:eastAsia="黑体"/>
                <w:sz w:val="22"/>
                <w:szCs w:val="22"/>
              </w:rPr>
              <w:t>该批产品检验报告</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6" w:type="dxa"/>
            <w:vMerge w:val="continue"/>
            <w:noWrap w:val="0"/>
            <w:textDirection w:val="btLr"/>
            <w:vAlign w:val="center"/>
          </w:tcPr>
          <w:p>
            <w:pPr>
              <w:ind w:left="113" w:right="113"/>
              <w:jc w:val="center"/>
              <w:rPr>
                <w:rFonts w:ascii="黑体" w:hAnsi="黑体" w:eastAsia="黑体"/>
                <w:sz w:val="18"/>
                <w:szCs w:val="22"/>
              </w:rPr>
            </w:pPr>
          </w:p>
        </w:tc>
        <w:tc>
          <w:tcPr>
            <w:tcW w:w="882" w:type="dxa"/>
            <w:noWrap w:val="0"/>
            <w:textDirection w:val="btLr"/>
            <w:vAlign w:val="center"/>
          </w:tcPr>
          <w:p>
            <w:pPr>
              <w:ind w:left="113" w:right="113"/>
              <w:jc w:val="center"/>
              <w:rPr>
                <w:rFonts w:hint="eastAsia" w:ascii="黑体" w:hAnsi="黑体" w:eastAsia="黑体"/>
                <w:sz w:val="22"/>
                <w:szCs w:val="22"/>
              </w:rPr>
            </w:pPr>
            <w:r>
              <w:rPr>
                <w:rFonts w:hint="eastAsia" w:ascii="黑体" w:hAnsi="黑体" w:eastAsia="黑体"/>
                <w:sz w:val="22"/>
                <w:szCs w:val="22"/>
              </w:rPr>
              <w:t>购货凭证</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6" w:type="dxa"/>
            <w:vMerge w:val="continue"/>
            <w:noWrap w:val="0"/>
            <w:textDirection w:val="btLr"/>
            <w:vAlign w:val="center"/>
          </w:tcPr>
          <w:p>
            <w:pPr>
              <w:ind w:left="113" w:right="113"/>
              <w:jc w:val="center"/>
              <w:rPr>
                <w:rFonts w:ascii="黑体" w:hAnsi="黑体" w:eastAsia="黑体"/>
                <w:sz w:val="18"/>
                <w:szCs w:val="22"/>
              </w:rPr>
            </w:pPr>
          </w:p>
        </w:tc>
        <w:tc>
          <w:tcPr>
            <w:tcW w:w="882" w:type="dxa"/>
            <w:noWrap w:val="0"/>
            <w:textDirection w:val="btLr"/>
            <w:vAlign w:val="center"/>
          </w:tcPr>
          <w:p>
            <w:pPr>
              <w:ind w:left="113" w:right="113"/>
              <w:jc w:val="center"/>
              <w:rPr>
                <w:rFonts w:hint="eastAsia" w:ascii="黑体" w:hAnsi="黑体" w:eastAsia="黑体"/>
                <w:sz w:val="22"/>
                <w:szCs w:val="22"/>
              </w:rPr>
            </w:pPr>
            <w:r>
              <w:rPr>
                <w:rFonts w:hint="eastAsia" w:ascii="黑体" w:hAnsi="黑体" w:eastAsia="黑体"/>
                <w:sz w:val="22"/>
                <w:szCs w:val="22"/>
              </w:rPr>
              <w:t>营业执照</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dxa"/>
            <w:vMerge w:val="continue"/>
            <w:noWrap w:val="0"/>
            <w:textDirection w:val="btLr"/>
            <w:vAlign w:val="center"/>
          </w:tcPr>
          <w:p>
            <w:pPr>
              <w:ind w:left="113" w:right="113"/>
              <w:jc w:val="center"/>
              <w:rPr>
                <w:rFonts w:ascii="黑体" w:hAnsi="黑体" w:eastAsia="黑体"/>
                <w:sz w:val="18"/>
                <w:szCs w:val="22"/>
              </w:rPr>
            </w:pPr>
          </w:p>
        </w:tc>
        <w:tc>
          <w:tcPr>
            <w:tcW w:w="882" w:type="dxa"/>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许可证</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28" w:type="dxa"/>
            <w:gridSpan w:val="2"/>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地址及联系电话</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gridSpan w:val="2"/>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供货商</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gridSpan w:val="2"/>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生产商</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gridSpan w:val="2"/>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生产日期</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gridSpan w:val="2"/>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数量</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gridSpan w:val="2"/>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规格</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gridSpan w:val="2"/>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产品名称</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gridSpan w:val="2"/>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进货日期</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28" w:type="dxa"/>
            <w:gridSpan w:val="2"/>
            <w:noWrap w:val="0"/>
            <w:textDirection w:val="btLr"/>
            <w:vAlign w:val="center"/>
          </w:tcPr>
          <w:p>
            <w:pPr>
              <w:ind w:left="113" w:right="113"/>
              <w:jc w:val="center"/>
              <w:rPr>
                <w:rFonts w:ascii="黑体" w:hAnsi="黑体" w:eastAsia="黑体"/>
                <w:sz w:val="18"/>
                <w:szCs w:val="22"/>
              </w:rPr>
            </w:pPr>
            <w:r>
              <w:rPr>
                <w:rFonts w:hint="eastAsia" w:ascii="黑体" w:hAnsi="黑体" w:eastAsia="黑体"/>
                <w:sz w:val="22"/>
                <w:szCs w:val="22"/>
              </w:rPr>
              <w:t>序号</w:t>
            </w: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0" w:type="dxa"/>
            <w:noWrap w:val="0"/>
            <w:textDirection w:val="btLr"/>
            <w:vAlign w:val="top"/>
          </w:tcPr>
          <w:p>
            <w:pPr>
              <w:ind w:left="113" w:right="113"/>
              <w:rPr>
                <w:rFonts w:ascii="黑体" w:hAnsi="黑体" w:eastAsia="黑体"/>
                <w:sz w:val="18"/>
                <w:szCs w:val="22"/>
              </w:rPr>
            </w:pPr>
          </w:p>
        </w:tc>
        <w:tc>
          <w:tcPr>
            <w:tcW w:w="921" w:type="dxa"/>
            <w:noWrap w:val="0"/>
            <w:textDirection w:val="btLr"/>
            <w:vAlign w:val="top"/>
          </w:tcPr>
          <w:p>
            <w:pPr>
              <w:ind w:left="113" w:right="113"/>
              <w:rPr>
                <w:rFonts w:ascii="黑体" w:hAnsi="黑体" w:eastAsia="黑体"/>
                <w:sz w:val="18"/>
                <w:szCs w:val="22"/>
              </w:rPr>
            </w:pPr>
          </w:p>
        </w:tc>
      </w:tr>
    </w:tbl>
    <w:p>
      <w:pPr>
        <w:pStyle w:val="56"/>
        <w:ind w:firstLine="420"/>
        <w:sectPr>
          <w:pgSz w:w="11906" w:h="16838"/>
          <w:pgMar w:top="1928" w:right="1134" w:bottom="1134" w:left="1134" w:header="1418" w:footer="1134" w:gutter="284"/>
          <w:cols w:space="425" w:num="1"/>
          <w:formProt w:val="0"/>
          <w:textDirection w:val="lrTb"/>
          <w:docGrid w:type="lines" w:linePitch="312" w:charSpace="0"/>
        </w:sectPr>
      </w:pPr>
    </w:p>
    <w:p>
      <w:pPr>
        <w:pStyle w:val="198"/>
        <w:rPr>
          <w:vanish w:val="0"/>
        </w:rPr>
      </w:pPr>
    </w:p>
    <w:p>
      <w:pPr>
        <w:pStyle w:val="199"/>
        <w:rPr>
          <w:vanish w:val="0"/>
        </w:rPr>
      </w:pPr>
    </w:p>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rPr>
        <w:t xml:space="preserve">表A.2 </w:t>
      </w:r>
      <w:r>
        <w:rPr>
          <w:rFonts w:hint="eastAsia" w:ascii="黑体" w:hAnsi="黑体" w:eastAsia="黑体"/>
          <w:color w:val="000000"/>
          <w:kern w:val="0"/>
          <w:szCs w:val="21"/>
          <w:lang w:val="zh-CN"/>
        </w:rPr>
        <w:t>废弃</w:t>
      </w:r>
      <w:r>
        <w:rPr>
          <w:rFonts w:hint="eastAsia" w:ascii="黑体" w:hAnsi="黑体" w:eastAsia="黑体"/>
          <w:color w:val="000000"/>
          <w:kern w:val="0"/>
          <w:szCs w:val="21"/>
        </w:rPr>
        <w:t>油</w:t>
      </w:r>
      <w:r>
        <w:rPr>
          <w:rFonts w:hint="eastAsia" w:ascii="黑体" w:hAnsi="黑体" w:eastAsia="黑体"/>
          <w:color w:val="000000"/>
          <w:kern w:val="0"/>
          <w:szCs w:val="21"/>
          <w:lang w:val="zh-CN"/>
        </w:rPr>
        <w:t>处置记录</w:t>
      </w:r>
    </w:p>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（资料性）</w:t>
      </w:r>
    </w:p>
    <w:tbl>
      <w:tblPr>
        <w:tblStyle w:val="26"/>
        <w:tblpPr w:leftFromText="180" w:rightFromText="180" w:vertAnchor="text" w:horzAnchor="page" w:tblpXSpec="center" w:tblpY="254"/>
        <w:tblW w:w="8694"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234"/>
        <w:gridCol w:w="1350"/>
        <w:gridCol w:w="1324"/>
        <w:gridCol w:w="1500"/>
        <w:gridCol w:w="118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日期</w:t>
            </w:r>
          </w:p>
        </w:tc>
        <w:tc>
          <w:tcPr>
            <w:tcW w:w="123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数量（kg）</w:t>
            </w:r>
          </w:p>
        </w:tc>
        <w:tc>
          <w:tcPr>
            <w:tcW w:w="135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处理时间</w:t>
            </w:r>
          </w:p>
        </w:tc>
        <w:tc>
          <w:tcPr>
            <w:tcW w:w="132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处理单位</w:t>
            </w:r>
          </w:p>
        </w:tc>
        <w:tc>
          <w:tcPr>
            <w:tcW w:w="150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处理人及联系方式</w:t>
            </w:r>
          </w:p>
        </w:tc>
        <w:tc>
          <w:tcPr>
            <w:tcW w:w="1185"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记录人</w:t>
            </w:r>
          </w:p>
        </w:tc>
        <w:tc>
          <w:tcPr>
            <w:tcW w:w="96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23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5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2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50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185"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96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23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5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2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50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185"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96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23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5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2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50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185"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96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23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5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2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50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185"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96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23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5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2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50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185"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96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23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5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2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50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185"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96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23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5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2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50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185"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96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23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5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324"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50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1185"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c>
          <w:tcPr>
            <w:tcW w:w="960" w:type="dxa"/>
            <w:noWrap w:val="0"/>
            <w:vAlign w:val="center"/>
          </w:tcPr>
          <w:p>
            <w:pPr>
              <w:spacing w:before="161" w:beforeLines="50" w:after="161" w:afterLines="50" w:line="360" w:lineRule="auto"/>
              <w:jc w:val="center"/>
              <w:rPr>
                <w:rFonts w:hint="eastAsia" w:ascii="黑体" w:hAnsi="黑体" w:eastAsia="黑体"/>
                <w:color w:val="000000"/>
                <w:kern w:val="0"/>
                <w:szCs w:val="21"/>
                <w:lang w:val="zh-CN"/>
              </w:rPr>
            </w:pPr>
          </w:p>
        </w:tc>
      </w:tr>
    </w:tbl>
    <w:p>
      <w:pPr>
        <w:pStyle w:val="56"/>
        <w:ind w:firstLine="420"/>
      </w:pPr>
    </w:p>
    <w:p>
      <w:pPr>
        <w:pStyle w:val="56"/>
        <w:ind w:firstLine="420"/>
      </w:pPr>
    </w:p>
    <w:p>
      <w:pPr>
        <w:pStyle w:val="56"/>
        <w:ind w:firstLine="420"/>
      </w:pPr>
    </w:p>
    <w:p>
      <w:pPr>
        <w:pStyle w:val="56"/>
        <w:ind w:firstLine="420"/>
      </w:pPr>
    </w:p>
    <w:bookmarkEnd w:id="43"/>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spacing w:before="161" w:beforeLines="50" w:after="161" w:afterLines="50" w:line="360" w:lineRule="auto"/>
        <w:jc w:val="center"/>
        <w:rPr>
          <w:rFonts w:hint="eastAsia" w:ascii="黑体" w:hAnsi="黑体" w:eastAsia="黑体"/>
          <w:color w:val="000000"/>
          <w:kern w:val="0"/>
          <w:szCs w:val="21"/>
          <w:lang w:val="zh-CN"/>
        </w:rPr>
      </w:pPr>
      <w:r>
        <w:rPr>
          <w:rFonts w:hint="eastAsia" w:ascii="黑体" w:hAnsi="黑体" w:eastAsia="黑体"/>
          <w:color w:val="000000"/>
          <w:kern w:val="0"/>
          <w:szCs w:val="21"/>
          <w:lang w:val="zh-CN"/>
        </w:rPr>
        <w:t>参考文献</w:t>
      </w:r>
    </w:p>
    <w:p>
      <w:pPr>
        <w:widowControl/>
        <w:autoSpaceDE w:val="0"/>
        <w:autoSpaceDN w:val="0"/>
        <w:rPr>
          <w:rFonts w:hint="eastAsia" w:ascii="宋体" w:hAnsi="宋体"/>
          <w:color w:val="000000"/>
        </w:rPr>
      </w:pPr>
    </w:p>
    <w:p>
      <w:pPr>
        <w:widowControl/>
        <w:autoSpaceDE w:val="0"/>
        <w:autoSpaceDN w:val="0"/>
        <w:rPr>
          <w:rFonts w:hint="eastAsia" w:ascii="宋体" w:hAnsi="宋体"/>
          <w:color w:val="000000"/>
        </w:rPr>
      </w:pPr>
      <w:r>
        <w:rPr>
          <w:rFonts w:hint="eastAsia" w:ascii="宋体" w:hAnsi="宋体"/>
          <w:color w:val="000000"/>
        </w:rPr>
        <w:t>[1]《餐饮服务食品安全操作规范》（国家市场监督管理总局公告 2018年 第12号）</w:t>
      </w:r>
    </w:p>
    <w:p>
      <w:pPr>
        <w:widowControl/>
        <w:autoSpaceDE w:val="0"/>
        <w:autoSpaceDN w:val="0"/>
        <w:rPr>
          <w:rFonts w:hint="eastAsia" w:ascii="宋体" w:hAnsi="宋体"/>
          <w:color w:val="000000"/>
        </w:rPr>
      </w:pPr>
      <w:r>
        <w:rPr>
          <w:rFonts w:hint="eastAsia" w:ascii="宋体" w:hAnsi="宋体"/>
          <w:color w:val="000000"/>
        </w:rPr>
        <w:t>[2]《国务院办公厅关于加强地沟油整治和餐厨废弃物管理的意见》（国办发〔2010〕36号）</w:t>
      </w:r>
    </w:p>
    <w:p>
      <w:pPr>
        <w:widowControl/>
        <w:autoSpaceDE w:val="0"/>
        <w:autoSpaceDN w:val="0"/>
        <w:rPr>
          <w:rFonts w:ascii="宋体" w:hAnsi="宋体"/>
          <w:color w:val="000000"/>
        </w:rPr>
      </w:pPr>
      <w:r>
        <w:rPr>
          <w:rFonts w:hint="eastAsia" w:ascii="宋体" w:hAnsi="宋体"/>
          <w:color w:val="000000"/>
        </w:rPr>
        <w:t>[3]</w:t>
      </w:r>
      <w:r>
        <w:rPr>
          <w:rFonts w:hint="eastAsia" w:ascii="宋体" w:hAnsi="宋体"/>
          <w:color w:val="000000"/>
          <w:lang w:val="en-US" w:eastAsia="zh-CN"/>
        </w:rPr>
        <w:t xml:space="preserve"> </w:t>
      </w:r>
      <w:r>
        <w:rPr>
          <w:rFonts w:hint="eastAsia" w:ascii="宋体" w:hAnsi="宋体"/>
          <w:color w:val="000000"/>
        </w:rPr>
        <w:t>台湾卫生福利部/食品药品管理署《油炸油安全管理简易手册（2011年）》</w:t>
      </w:r>
    </w:p>
    <w:p>
      <w:pPr>
        <w:widowControl/>
        <w:autoSpaceDE w:val="0"/>
        <w:autoSpaceDN w:val="0"/>
        <w:rPr>
          <w:rFonts w:hint="eastAsia" w:ascii="宋体"/>
          <w:kern w:val="0"/>
          <w:szCs w:val="20"/>
        </w:rPr>
      </w:pPr>
    </w:p>
    <w:p>
      <w:pPr>
        <w:pStyle w:val="235"/>
      </w:pPr>
      <w:r>
        <w:t>_________________________________</w:t>
      </w:r>
    </w:p>
    <w:p>
      <w:pPr>
        <w:pStyle w:val="56"/>
        <w:ind w:firstLine="0" w:firstLineChars="0"/>
        <w:jc w:val="center"/>
      </w:pPr>
      <w:bookmarkStart w:id="45" w:name="_GoBack"/>
      <w:bookmarkEnd w:id="4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ptab w:relativeTo="margin" w:alignment="center" w:leader="none"/>
    </w: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0B55DC2"/>
    <w:multiLevelType w:val="multilevel"/>
    <w:tmpl w:val="60B55DC2"/>
    <w:lvl w:ilvl="0" w:tentative="0">
      <w:start w:val="1"/>
      <w:numFmt w:val="upperLetter"/>
      <w:pStyle w:val="230"/>
      <w:lvlText w:val="%1"/>
      <w:lvlJc w:val="left"/>
      <w:pPr>
        <w:tabs>
          <w:tab w:val="left" w:pos="0"/>
        </w:tabs>
        <w:ind w:left="0" w:hanging="425"/>
      </w:pPr>
      <w:rPr>
        <w:rFonts w:hint="eastAsia"/>
      </w:rPr>
    </w:lvl>
    <w:lvl w:ilvl="1" w:tentative="0">
      <w:start w:val="1"/>
      <w:numFmt w:val="decimal"/>
      <w:pStyle w:val="23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1135" w:firstLine="0"/>
      </w:pPr>
      <w:rPr>
        <w:rFonts w:hint="eastAsia" w:ascii="黑体" w:eastAsia="黑体"/>
        <w:b w:val="0"/>
        <w:i w:val="0"/>
        <w:sz w:val="21"/>
      </w:rPr>
    </w:lvl>
    <w:lvl w:ilvl="2" w:tentative="0">
      <w:start w:val="1"/>
      <w:numFmt w:val="decimal"/>
      <w:pStyle w:val="105"/>
      <w:suff w:val="nothing"/>
      <w:lvlText w:val="%1%2.%3　"/>
      <w:lvlJc w:val="left"/>
      <w:pPr>
        <w:ind w:left="-113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1277"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mZjRhZTY4OGRhNmVmODc0ZDhkOWU2MjgwOWQ5ODkifQ=="/>
  </w:docVars>
  <w:rsids>
    <w:rsidRoot w:val="004900CA"/>
    <w:rsid w:val="0000040A"/>
    <w:rsid w:val="00000A94"/>
    <w:rsid w:val="00001972"/>
    <w:rsid w:val="00001D9A"/>
    <w:rsid w:val="000029CC"/>
    <w:rsid w:val="00007B3A"/>
    <w:rsid w:val="000107E0"/>
    <w:rsid w:val="00011FDE"/>
    <w:rsid w:val="00012FFD"/>
    <w:rsid w:val="00014162"/>
    <w:rsid w:val="00014340"/>
    <w:rsid w:val="00016394"/>
    <w:rsid w:val="00016A9C"/>
    <w:rsid w:val="00022184"/>
    <w:rsid w:val="00022762"/>
    <w:rsid w:val="000238E0"/>
    <w:rsid w:val="000249DB"/>
    <w:rsid w:val="0002595E"/>
    <w:rsid w:val="000303C3"/>
    <w:rsid w:val="000304EC"/>
    <w:rsid w:val="000331D3"/>
    <w:rsid w:val="0003423C"/>
    <w:rsid w:val="000346A5"/>
    <w:rsid w:val="000359C3"/>
    <w:rsid w:val="00035A7D"/>
    <w:rsid w:val="000365ED"/>
    <w:rsid w:val="0004249A"/>
    <w:rsid w:val="00042C9F"/>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B38"/>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B42"/>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615"/>
    <w:rsid w:val="000E4C9E"/>
    <w:rsid w:val="000E59A2"/>
    <w:rsid w:val="000E6FD7"/>
    <w:rsid w:val="000F06E1"/>
    <w:rsid w:val="000F0E3C"/>
    <w:rsid w:val="000F19D5"/>
    <w:rsid w:val="000F4AC3"/>
    <w:rsid w:val="000F4AEA"/>
    <w:rsid w:val="000F4D5D"/>
    <w:rsid w:val="000F633F"/>
    <w:rsid w:val="000F67E9"/>
    <w:rsid w:val="00104926"/>
    <w:rsid w:val="00113B1E"/>
    <w:rsid w:val="0011711C"/>
    <w:rsid w:val="0012059C"/>
    <w:rsid w:val="00124E4F"/>
    <w:rsid w:val="001260B7"/>
    <w:rsid w:val="001265CB"/>
    <w:rsid w:val="001321C6"/>
    <w:rsid w:val="001325C4"/>
    <w:rsid w:val="00132C5E"/>
    <w:rsid w:val="00133010"/>
    <w:rsid w:val="001338EE"/>
    <w:rsid w:val="00133AAE"/>
    <w:rsid w:val="00135323"/>
    <w:rsid w:val="001356C4"/>
    <w:rsid w:val="00141114"/>
    <w:rsid w:val="00142969"/>
    <w:rsid w:val="001446C2"/>
    <w:rsid w:val="001457E7"/>
    <w:rsid w:val="00145D9D"/>
    <w:rsid w:val="00146388"/>
    <w:rsid w:val="00147783"/>
    <w:rsid w:val="001529E5"/>
    <w:rsid w:val="00153C7E"/>
    <w:rsid w:val="00154DE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3FC"/>
    <w:rsid w:val="0017340B"/>
    <w:rsid w:val="00173FB1"/>
    <w:rsid w:val="00176DFD"/>
    <w:rsid w:val="001852C9"/>
    <w:rsid w:val="00190087"/>
    <w:rsid w:val="00190BDD"/>
    <w:rsid w:val="001913C4"/>
    <w:rsid w:val="0019348F"/>
    <w:rsid w:val="00193A07"/>
    <w:rsid w:val="00194C95"/>
    <w:rsid w:val="00195C34"/>
    <w:rsid w:val="00196EF5"/>
    <w:rsid w:val="0019765B"/>
    <w:rsid w:val="001A1A53"/>
    <w:rsid w:val="001A1DE0"/>
    <w:rsid w:val="001A234A"/>
    <w:rsid w:val="001A4CF3"/>
    <w:rsid w:val="001B068F"/>
    <w:rsid w:val="001B06E8"/>
    <w:rsid w:val="001B71D0"/>
    <w:rsid w:val="001B71EE"/>
    <w:rsid w:val="001B73C6"/>
    <w:rsid w:val="001C04A8"/>
    <w:rsid w:val="001C2C03"/>
    <w:rsid w:val="001C42F7"/>
    <w:rsid w:val="001C49E5"/>
    <w:rsid w:val="001C680C"/>
    <w:rsid w:val="001C7FEA"/>
    <w:rsid w:val="001D0499"/>
    <w:rsid w:val="001D0BBE"/>
    <w:rsid w:val="001D0ED4"/>
    <w:rsid w:val="001D212F"/>
    <w:rsid w:val="001D29D7"/>
    <w:rsid w:val="001D2AE8"/>
    <w:rsid w:val="001D2DE7"/>
    <w:rsid w:val="001D411C"/>
    <w:rsid w:val="001E1B6A"/>
    <w:rsid w:val="001E2484"/>
    <w:rsid w:val="001E3CC4"/>
    <w:rsid w:val="001E4882"/>
    <w:rsid w:val="001E626C"/>
    <w:rsid w:val="001E73AB"/>
    <w:rsid w:val="001E7E3F"/>
    <w:rsid w:val="001F092D"/>
    <w:rsid w:val="001F11FE"/>
    <w:rsid w:val="001F143A"/>
    <w:rsid w:val="001F1605"/>
    <w:rsid w:val="001F2508"/>
    <w:rsid w:val="001F4816"/>
    <w:rsid w:val="001F4EE9"/>
    <w:rsid w:val="001F69B4"/>
    <w:rsid w:val="001F7614"/>
    <w:rsid w:val="001F77C7"/>
    <w:rsid w:val="00200183"/>
    <w:rsid w:val="00200333"/>
    <w:rsid w:val="0020107D"/>
    <w:rsid w:val="00202AA4"/>
    <w:rsid w:val="002031F7"/>
    <w:rsid w:val="002040E6"/>
    <w:rsid w:val="0020527B"/>
    <w:rsid w:val="00205F2C"/>
    <w:rsid w:val="0021068C"/>
    <w:rsid w:val="00210B15"/>
    <w:rsid w:val="002142EA"/>
    <w:rsid w:val="002204BB"/>
    <w:rsid w:val="00221B79"/>
    <w:rsid w:val="00221C6B"/>
    <w:rsid w:val="00224926"/>
    <w:rsid w:val="002253A1"/>
    <w:rsid w:val="00225CF8"/>
    <w:rsid w:val="002260CC"/>
    <w:rsid w:val="0022794E"/>
    <w:rsid w:val="00233B0B"/>
    <w:rsid w:val="00233D64"/>
    <w:rsid w:val="0023482A"/>
    <w:rsid w:val="002359CB"/>
    <w:rsid w:val="00236A49"/>
    <w:rsid w:val="0024106F"/>
    <w:rsid w:val="00243540"/>
    <w:rsid w:val="0024497B"/>
    <w:rsid w:val="0024515B"/>
    <w:rsid w:val="00246021"/>
    <w:rsid w:val="0024666E"/>
    <w:rsid w:val="0024791A"/>
    <w:rsid w:val="00247F52"/>
    <w:rsid w:val="00250B25"/>
    <w:rsid w:val="00250BBE"/>
    <w:rsid w:val="002515C2"/>
    <w:rsid w:val="0025194F"/>
    <w:rsid w:val="002557E8"/>
    <w:rsid w:val="00261372"/>
    <w:rsid w:val="0026148A"/>
    <w:rsid w:val="00262696"/>
    <w:rsid w:val="00263D25"/>
    <w:rsid w:val="002643C3"/>
    <w:rsid w:val="00264A0C"/>
    <w:rsid w:val="00266EEB"/>
    <w:rsid w:val="00267EF4"/>
    <w:rsid w:val="0027090F"/>
    <w:rsid w:val="00270CB8"/>
    <w:rsid w:val="00271E24"/>
    <w:rsid w:val="00272B08"/>
    <w:rsid w:val="002771AC"/>
    <w:rsid w:val="00280443"/>
    <w:rsid w:val="00281BB8"/>
    <w:rsid w:val="00281E9E"/>
    <w:rsid w:val="00282405"/>
    <w:rsid w:val="00285170"/>
    <w:rsid w:val="00285202"/>
    <w:rsid w:val="00285361"/>
    <w:rsid w:val="00292D60"/>
    <w:rsid w:val="00293B30"/>
    <w:rsid w:val="00294D34"/>
    <w:rsid w:val="00294E3B"/>
    <w:rsid w:val="00296193"/>
    <w:rsid w:val="00296C66"/>
    <w:rsid w:val="00296EBE"/>
    <w:rsid w:val="002974E3"/>
    <w:rsid w:val="00297A87"/>
    <w:rsid w:val="002A084B"/>
    <w:rsid w:val="002A1260"/>
    <w:rsid w:val="002A1589"/>
    <w:rsid w:val="002A1608"/>
    <w:rsid w:val="002A25DC"/>
    <w:rsid w:val="002A3AAB"/>
    <w:rsid w:val="002A4CEA"/>
    <w:rsid w:val="002A5977"/>
    <w:rsid w:val="002A5A13"/>
    <w:rsid w:val="002A757F"/>
    <w:rsid w:val="002A7F44"/>
    <w:rsid w:val="002B0C40"/>
    <w:rsid w:val="002B1678"/>
    <w:rsid w:val="002B1966"/>
    <w:rsid w:val="002B305B"/>
    <w:rsid w:val="002B4508"/>
    <w:rsid w:val="002B5779"/>
    <w:rsid w:val="002B7332"/>
    <w:rsid w:val="002B7F51"/>
    <w:rsid w:val="002C09E7"/>
    <w:rsid w:val="002C0F24"/>
    <w:rsid w:val="002C1E06"/>
    <w:rsid w:val="002C1E1C"/>
    <w:rsid w:val="002C307B"/>
    <w:rsid w:val="002C30BE"/>
    <w:rsid w:val="002C3F07"/>
    <w:rsid w:val="002C5278"/>
    <w:rsid w:val="002C7EBB"/>
    <w:rsid w:val="002D06C1"/>
    <w:rsid w:val="002D42B5"/>
    <w:rsid w:val="002D4F1A"/>
    <w:rsid w:val="002D6EC6"/>
    <w:rsid w:val="002D79AC"/>
    <w:rsid w:val="002E039D"/>
    <w:rsid w:val="002E4D5A"/>
    <w:rsid w:val="002E5C2F"/>
    <w:rsid w:val="002E6326"/>
    <w:rsid w:val="002F30E0"/>
    <w:rsid w:val="002F35E4"/>
    <w:rsid w:val="002F3730"/>
    <w:rsid w:val="002F38E1"/>
    <w:rsid w:val="002F72D3"/>
    <w:rsid w:val="002F7AF6"/>
    <w:rsid w:val="00300E63"/>
    <w:rsid w:val="003015E9"/>
    <w:rsid w:val="00302F5F"/>
    <w:rsid w:val="0030300E"/>
    <w:rsid w:val="0030441D"/>
    <w:rsid w:val="00306063"/>
    <w:rsid w:val="00313B85"/>
    <w:rsid w:val="00313D72"/>
    <w:rsid w:val="00317988"/>
    <w:rsid w:val="003221B4"/>
    <w:rsid w:val="0032258D"/>
    <w:rsid w:val="00322E62"/>
    <w:rsid w:val="0032467A"/>
    <w:rsid w:val="00324D13"/>
    <w:rsid w:val="00324D2A"/>
    <w:rsid w:val="00324EDD"/>
    <w:rsid w:val="003331E4"/>
    <w:rsid w:val="00336C64"/>
    <w:rsid w:val="00337162"/>
    <w:rsid w:val="003409E9"/>
    <w:rsid w:val="0034194F"/>
    <w:rsid w:val="00344605"/>
    <w:rsid w:val="003474AA"/>
    <w:rsid w:val="00350BCD"/>
    <w:rsid w:val="00350D1D"/>
    <w:rsid w:val="00352C83"/>
    <w:rsid w:val="003615D2"/>
    <w:rsid w:val="0036429C"/>
    <w:rsid w:val="00364A53"/>
    <w:rsid w:val="003654CB"/>
    <w:rsid w:val="00365AA9"/>
    <w:rsid w:val="00365E99"/>
    <w:rsid w:val="00365F86"/>
    <w:rsid w:val="00365F87"/>
    <w:rsid w:val="00366E89"/>
    <w:rsid w:val="003705F4"/>
    <w:rsid w:val="00370D58"/>
    <w:rsid w:val="00371316"/>
    <w:rsid w:val="00376713"/>
    <w:rsid w:val="00381815"/>
    <w:rsid w:val="003819AF"/>
    <w:rsid w:val="003820E9"/>
    <w:rsid w:val="00382DE7"/>
    <w:rsid w:val="00384FFC"/>
    <w:rsid w:val="00385C7A"/>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D69"/>
    <w:rsid w:val="003B09AD"/>
    <w:rsid w:val="003B1F18"/>
    <w:rsid w:val="003B5BF0"/>
    <w:rsid w:val="003B60BF"/>
    <w:rsid w:val="003B6BE3"/>
    <w:rsid w:val="003C010C"/>
    <w:rsid w:val="003C0A6C"/>
    <w:rsid w:val="003C0C73"/>
    <w:rsid w:val="003C14F8"/>
    <w:rsid w:val="003C4561"/>
    <w:rsid w:val="003C5A43"/>
    <w:rsid w:val="003D0519"/>
    <w:rsid w:val="003D0FF6"/>
    <w:rsid w:val="003D24F5"/>
    <w:rsid w:val="003D262C"/>
    <w:rsid w:val="003D6D61"/>
    <w:rsid w:val="003D79C6"/>
    <w:rsid w:val="003E091D"/>
    <w:rsid w:val="003E1C53"/>
    <w:rsid w:val="003E294D"/>
    <w:rsid w:val="003E2A69"/>
    <w:rsid w:val="003E2D49"/>
    <w:rsid w:val="003E2FD4"/>
    <w:rsid w:val="003E49F6"/>
    <w:rsid w:val="003E56B7"/>
    <w:rsid w:val="003E660F"/>
    <w:rsid w:val="003F0841"/>
    <w:rsid w:val="003F23D3"/>
    <w:rsid w:val="003F3F08"/>
    <w:rsid w:val="003F49F1"/>
    <w:rsid w:val="003F6272"/>
    <w:rsid w:val="00400E72"/>
    <w:rsid w:val="00401400"/>
    <w:rsid w:val="00404869"/>
    <w:rsid w:val="00405884"/>
    <w:rsid w:val="00407D39"/>
    <w:rsid w:val="0041477A"/>
    <w:rsid w:val="004167A3"/>
    <w:rsid w:val="00420DE7"/>
    <w:rsid w:val="004263B6"/>
    <w:rsid w:val="00432DAA"/>
    <w:rsid w:val="00434305"/>
    <w:rsid w:val="00435DF7"/>
    <w:rsid w:val="0044083F"/>
    <w:rsid w:val="00441AE7"/>
    <w:rsid w:val="00445574"/>
    <w:rsid w:val="004463F0"/>
    <w:rsid w:val="004467FB"/>
    <w:rsid w:val="00452D6B"/>
    <w:rsid w:val="00454484"/>
    <w:rsid w:val="0045517B"/>
    <w:rsid w:val="00463B77"/>
    <w:rsid w:val="00463C7B"/>
    <w:rsid w:val="004644A6"/>
    <w:rsid w:val="004659BD"/>
    <w:rsid w:val="004702CF"/>
    <w:rsid w:val="00470775"/>
    <w:rsid w:val="00471073"/>
    <w:rsid w:val="004746B1"/>
    <w:rsid w:val="0047583F"/>
    <w:rsid w:val="00475DE8"/>
    <w:rsid w:val="00481C44"/>
    <w:rsid w:val="00482FE6"/>
    <w:rsid w:val="00484936"/>
    <w:rsid w:val="00485C89"/>
    <w:rsid w:val="00486BE3"/>
    <w:rsid w:val="004900CA"/>
    <w:rsid w:val="004905E4"/>
    <w:rsid w:val="00490A89"/>
    <w:rsid w:val="00490AB4"/>
    <w:rsid w:val="00492F02"/>
    <w:rsid w:val="004937E7"/>
    <w:rsid w:val="004939AE"/>
    <w:rsid w:val="004A12DF"/>
    <w:rsid w:val="004A17E6"/>
    <w:rsid w:val="004A1BA8"/>
    <w:rsid w:val="004A4B57"/>
    <w:rsid w:val="004A63FA"/>
    <w:rsid w:val="004B0272"/>
    <w:rsid w:val="004B2701"/>
    <w:rsid w:val="004B2E1B"/>
    <w:rsid w:val="004B3AA8"/>
    <w:rsid w:val="004B3E93"/>
    <w:rsid w:val="004B5D04"/>
    <w:rsid w:val="004C1FBC"/>
    <w:rsid w:val="004C3F1D"/>
    <w:rsid w:val="004C458D"/>
    <w:rsid w:val="004C7556"/>
    <w:rsid w:val="004C7E8B"/>
    <w:rsid w:val="004C7E9D"/>
    <w:rsid w:val="004C7F67"/>
    <w:rsid w:val="004D076D"/>
    <w:rsid w:val="004D0EF1"/>
    <w:rsid w:val="004D219E"/>
    <w:rsid w:val="004D2253"/>
    <w:rsid w:val="004D4406"/>
    <w:rsid w:val="004D7C42"/>
    <w:rsid w:val="004E0465"/>
    <w:rsid w:val="004E0BFA"/>
    <w:rsid w:val="004E127B"/>
    <w:rsid w:val="004E1C0A"/>
    <w:rsid w:val="004E2B06"/>
    <w:rsid w:val="004E30C5"/>
    <w:rsid w:val="004E4AA5"/>
    <w:rsid w:val="004E4AEE"/>
    <w:rsid w:val="004E59E3"/>
    <w:rsid w:val="004E67C0"/>
    <w:rsid w:val="004E74DE"/>
    <w:rsid w:val="004F0440"/>
    <w:rsid w:val="004F391A"/>
    <w:rsid w:val="004F3CFB"/>
    <w:rsid w:val="004F6456"/>
    <w:rsid w:val="004F696E"/>
    <w:rsid w:val="004F6C71"/>
    <w:rsid w:val="00501139"/>
    <w:rsid w:val="00501A74"/>
    <w:rsid w:val="0050363E"/>
    <w:rsid w:val="005039BC"/>
    <w:rsid w:val="005043BB"/>
    <w:rsid w:val="00504A3D"/>
    <w:rsid w:val="00505767"/>
    <w:rsid w:val="005073F0"/>
    <w:rsid w:val="00510A7B"/>
    <w:rsid w:val="00512F6E"/>
    <w:rsid w:val="00513038"/>
    <w:rsid w:val="005136EA"/>
    <w:rsid w:val="00514174"/>
    <w:rsid w:val="00516088"/>
    <w:rsid w:val="00516B0B"/>
    <w:rsid w:val="00516EBA"/>
    <w:rsid w:val="00517B0A"/>
    <w:rsid w:val="005220EC"/>
    <w:rsid w:val="00523F95"/>
    <w:rsid w:val="00524D65"/>
    <w:rsid w:val="00525B16"/>
    <w:rsid w:val="00526D61"/>
    <w:rsid w:val="00533D04"/>
    <w:rsid w:val="00534804"/>
    <w:rsid w:val="00534BDF"/>
    <w:rsid w:val="005354EA"/>
    <w:rsid w:val="0053585F"/>
    <w:rsid w:val="00535BC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6A5"/>
    <w:rsid w:val="0057051E"/>
    <w:rsid w:val="00573D9E"/>
    <w:rsid w:val="00574541"/>
    <w:rsid w:val="005801E3"/>
    <w:rsid w:val="00581802"/>
    <w:rsid w:val="005836A8"/>
    <w:rsid w:val="0058409C"/>
    <w:rsid w:val="00584262"/>
    <w:rsid w:val="00586630"/>
    <w:rsid w:val="00587007"/>
    <w:rsid w:val="00587ADD"/>
    <w:rsid w:val="00591E27"/>
    <w:rsid w:val="00593F9B"/>
    <w:rsid w:val="00596160"/>
    <w:rsid w:val="005966E2"/>
    <w:rsid w:val="00597007"/>
    <w:rsid w:val="005A0966"/>
    <w:rsid w:val="005A11B7"/>
    <w:rsid w:val="005A260B"/>
    <w:rsid w:val="005A4A1B"/>
    <w:rsid w:val="005A7830"/>
    <w:rsid w:val="005A7FCE"/>
    <w:rsid w:val="005B0F19"/>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764"/>
    <w:rsid w:val="005E6812"/>
    <w:rsid w:val="005E7881"/>
    <w:rsid w:val="005E78D2"/>
    <w:rsid w:val="005E78E0"/>
    <w:rsid w:val="005F0D9C"/>
    <w:rsid w:val="005F126B"/>
    <w:rsid w:val="005F284E"/>
    <w:rsid w:val="005F4712"/>
    <w:rsid w:val="005F5CFB"/>
    <w:rsid w:val="006015CE"/>
    <w:rsid w:val="00604784"/>
    <w:rsid w:val="00606419"/>
    <w:rsid w:val="00607D29"/>
    <w:rsid w:val="0061252E"/>
    <w:rsid w:val="00612952"/>
    <w:rsid w:val="00614CC1"/>
    <w:rsid w:val="00615A9D"/>
    <w:rsid w:val="00617387"/>
    <w:rsid w:val="006205D6"/>
    <w:rsid w:val="006252D8"/>
    <w:rsid w:val="006259BC"/>
    <w:rsid w:val="0062636B"/>
    <w:rsid w:val="00627A93"/>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A60"/>
    <w:rsid w:val="006640E5"/>
    <w:rsid w:val="006646F1"/>
    <w:rsid w:val="00664929"/>
    <w:rsid w:val="00664F62"/>
    <w:rsid w:val="006655E1"/>
    <w:rsid w:val="00671A17"/>
    <w:rsid w:val="00672060"/>
    <w:rsid w:val="00672BFD"/>
    <w:rsid w:val="006770F4"/>
    <w:rsid w:val="00677A84"/>
    <w:rsid w:val="0068026D"/>
    <w:rsid w:val="00680A27"/>
    <w:rsid w:val="006816A4"/>
    <w:rsid w:val="006819B8"/>
    <w:rsid w:val="006840A6"/>
    <w:rsid w:val="006850CD"/>
    <w:rsid w:val="00685AAB"/>
    <w:rsid w:val="006941E9"/>
    <w:rsid w:val="00695D22"/>
    <w:rsid w:val="006A07AA"/>
    <w:rsid w:val="006A25E5"/>
    <w:rsid w:val="006A2B46"/>
    <w:rsid w:val="006A336D"/>
    <w:rsid w:val="006A37B9"/>
    <w:rsid w:val="006A612B"/>
    <w:rsid w:val="006B2672"/>
    <w:rsid w:val="006B3AC0"/>
    <w:rsid w:val="006B54BF"/>
    <w:rsid w:val="006B5F44"/>
    <w:rsid w:val="006B5F90"/>
    <w:rsid w:val="006B62E4"/>
    <w:rsid w:val="006B7D80"/>
    <w:rsid w:val="006C1948"/>
    <w:rsid w:val="006C1BBA"/>
    <w:rsid w:val="006C2079"/>
    <w:rsid w:val="006C410B"/>
    <w:rsid w:val="006C42DB"/>
    <w:rsid w:val="006C5A62"/>
    <w:rsid w:val="006C5D68"/>
    <w:rsid w:val="006C6976"/>
    <w:rsid w:val="006C6DD0"/>
    <w:rsid w:val="006C6F27"/>
    <w:rsid w:val="006D04EA"/>
    <w:rsid w:val="006D0AB7"/>
    <w:rsid w:val="006D16C4"/>
    <w:rsid w:val="006D3E96"/>
    <w:rsid w:val="006D4515"/>
    <w:rsid w:val="006D4BB1"/>
    <w:rsid w:val="006D6593"/>
    <w:rsid w:val="006D72E4"/>
    <w:rsid w:val="006E23EA"/>
    <w:rsid w:val="006E34C3"/>
    <w:rsid w:val="006F03A8"/>
    <w:rsid w:val="006F2ACA"/>
    <w:rsid w:val="006F2ADC"/>
    <w:rsid w:val="006F2BFE"/>
    <w:rsid w:val="006F31E9"/>
    <w:rsid w:val="006F6284"/>
    <w:rsid w:val="007002C5"/>
    <w:rsid w:val="00702674"/>
    <w:rsid w:val="00704387"/>
    <w:rsid w:val="00707669"/>
    <w:rsid w:val="00711CBA"/>
    <w:rsid w:val="00711FB5"/>
    <w:rsid w:val="00712A01"/>
    <w:rsid w:val="00714F58"/>
    <w:rsid w:val="007154D4"/>
    <w:rsid w:val="00722FBF"/>
    <w:rsid w:val="00722FC2"/>
    <w:rsid w:val="00724879"/>
    <w:rsid w:val="00724E1B"/>
    <w:rsid w:val="00725949"/>
    <w:rsid w:val="00725BA4"/>
    <w:rsid w:val="00727FA2"/>
    <w:rsid w:val="00730EBE"/>
    <w:rsid w:val="007322D9"/>
    <w:rsid w:val="00732BC0"/>
    <w:rsid w:val="00733236"/>
    <w:rsid w:val="00733B1C"/>
    <w:rsid w:val="0073720F"/>
    <w:rsid w:val="00737796"/>
    <w:rsid w:val="0074165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F1F"/>
    <w:rsid w:val="007654D0"/>
    <w:rsid w:val="00765C43"/>
    <w:rsid w:val="00765EFB"/>
    <w:rsid w:val="007663D8"/>
    <w:rsid w:val="007671CA"/>
    <w:rsid w:val="00767C61"/>
    <w:rsid w:val="0077008A"/>
    <w:rsid w:val="00773C1F"/>
    <w:rsid w:val="00774DA4"/>
    <w:rsid w:val="00776599"/>
    <w:rsid w:val="00780697"/>
    <w:rsid w:val="0078114B"/>
    <w:rsid w:val="00781DD2"/>
    <w:rsid w:val="00783ECF"/>
    <w:rsid w:val="0078413A"/>
    <w:rsid w:val="0079022E"/>
    <w:rsid w:val="007959E8"/>
    <w:rsid w:val="00795E9C"/>
    <w:rsid w:val="007A0521"/>
    <w:rsid w:val="007A1DA7"/>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9B6"/>
    <w:rsid w:val="007D6518"/>
    <w:rsid w:val="007D76BD"/>
    <w:rsid w:val="007E0BF1"/>
    <w:rsid w:val="007F0ED8"/>
    <w:rsid w:val="007F0F63"/>
    <w:rsid w:val="007F75CE"/>
    <w:rsid w:val="007F779C"/>
    <w:rsid w:val="008013A4"/>
    <w:rsid w:val="00801F4A"/>
    <w:rsid w:val="008027CE"/>
    <w:rsid w:val="00802F42"/>
    <w:rsid w:val="00804383"/>
    <w:rsid w:val="00804A10"/>
    <w:rsid w:val="00804BB7"/>
    <w:rsid w:val="00804D41"/>
    <w:rsid w:val="00810257"/>
    <w:rsid w:val="008104F5"/>
    <w:rsid w:val="00811072"/>
    <w:rsid w:val="00811369"/>
    <w:rsid w:val="00812319"/>
    <w:rsid w:val="00815419"/>
    <w:rsid w:val="00815BCD"/>
    <w:rsid w:val="008163C8"/>
    <w:rsid w:val="008164A1"/>
    <w:rsid w:val="008171BF"/>
    <w:rsid w:val="00817325"/>
    <w:rsid w:val="008209E6"/>
    <w:rsid w:val="00823303"/>
    <w:rsid w:val="008233B2"/>
    <w:rsid w:val="00823A9F"/>
    <w:rsid w:val="00823C85"/>
    <w:rsid w:val="00825138"/>
    <w:rsid w:val="008251D9"/>
    <w:rsid w:val="008269DD"/>
    <w:rsid w:val="00830621"/>
    <w:rsid w:val="00830DCF"/>
    <w:rsid w:val="0083348C"/>
    <w:rsid w:val="008373D3"/>
    <w:rsid w:val="00840617"/>
    <w:rsid w:val="00840F84"/>
    <w:rsid w:val="00842A47"/>
    <w:rsid w:val="00843C13"/>
    <w:rsid w:val="0084455C"/>
    <w:rsid w:val="008454F8"/>
    <w:rsid w:val="0085173A"/>
    <w:rsid w:val="00856316"/>
    <w:rsid w:val="008603CE"/>
    <w:rsid w:val="008620FC"/>
    <w:rsid w:val="008627A5"/>
    <w:rsid w:val="00863E05"/>
    <w:rsid w:val="00865ACA"/>
    <w:rsid w:val="00865D28"/>
    <w:rsid w:val="00865F85"/>
    <w:rsid w:val="00867C10"/>
    <w:rsid w:val="00870439"/>
    <w:rsid w:val="00870D0E"/>
    <w:rsid w:val="00870DA1"/>
    <w:rsid w:val="0087354A"/>
    <w:rsid w:val="00875D3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EB8"/>
    <w:rsid w:val="008C1797"/>
    <w:rsid w:val="008C219C"/>
    <w:rsid w:val="008C475E"/>
    <w:rsid w:val="008C619A"/>
    <w:rsid w:val="008D0CE8"/>
    <w:rsid w:val="008D2D1D"/>
    <w:rsid w:val="008D453D"/>
    <w:rsid w:val="008D53AD"/>
    <w:rsid w:val="008D562B"/>
    <w:rsid w:val="008D5733"/>
    <w:rsid w:val="008D622B"/>
    <w:rsid w:val="008D666C"/>
    <w:rsid w:val="008D6922"/>
    <w:rsid w:val="008D7B54"/>
    <w:rsid w:val="008E0C9D"/>
    <w:rsid w:val="008E1648"/>
    <w:rsid w:val="008E1B3E"/>
    <w:rsid w:val="008E2319"/>
    <w:rsid w:val="008E4BB6"/>
    <w:rsid w:val="008E5518"/>
    <w:rsid w:val="008E6A84"/>
    <w:rsid w:val="008F0CDC"/>
    <w:rsid w:val="008F17A3"/>
    <w:rsid w:val="008F1ED3"/>
    <w:rsid w:val="008F1FF1"/>
    <w:rsid w:val="008F23A5"/>
    <w:rsid w:val="008F4C29"/>
    <w:rsid w:val="008F5986"/>
    <w:rsid w:val="008F70BD"/>
    <w:rsid w:val="008F788F"/>
    <w:rsid w:val="008F7EA2"/>
    <w:rsid w:val="00902722"/>
    <w:rsid w:val="009027BC"/>
    <w:rsid w:val="009040FA"/>
    <w:rsid w:val="00904144"/>
    <w:rsid w:val="009052BC"/>
    <w:rsid w:val="009062E6"/>
    <w:rsid w:val="00911BE5"/>
    <w:rsid w:val="00913CA9"/>
    <w:rsid w:val="009145AE"/>
    <w:rsid w:val="009146CE"/>
    <w:rsid w:val="00914CA7"/>
    <w:rsid w:val="00914D39"/>
    <w:rsid w:val="00915C3E"/>
    <w:rsid w:val="009161A8"/>
    <w:rsid w:val="009245F5"/>
    <w:rsid w:val="009249EC"/>
    <w:rsid w:val="009261E2"/>
    <w:rsid w:val="009273B3"/>
    <w:rsid w:val="009305B5"/>
    <w:rsid w:val="0093110B"/>
    <w:rsid w:val="009429D5"/>
    <w:rsid w:val="00942BF1"/>
    <w:rsid w:val="00945180"/>
    <w:rsid w:val="00945428"/>
    <w:rsid w:val="0094607B"/>
    <w:rsid w:val="00950B63"/>
    <w:rsid w:val="00953604"/>
    <w:rsid w:val="0095496B"/>
    <w:rsid w:val="00960FC8"/>
    <w:rsid w:val="009610DC"/>
    <w:rsid w:val="00961490"/>
    <w:rsid w:val="0096381A"/>
    <w:rsid w:val="00963B9C"/>
    <w:rsid w:val="00963CD3"/>
    <w:rsid w:val="00965E04"/>
    <w:rsid w:val="00966BBC"/>
    <w:rsid w:val="009674AD"/>
    <w:rsid w:val="00970CDC"/>
    <w:rsid w:val="00977010"/>
    <w:rsid w:val="00977D02"/>
    <w:rsid w:val="009809BB"/>
    <w:rsid w:val="0098364B"/>
    <w:rsid w:val="009911AF"/>
    <w:rsid w:val="00991875"/>
    <w:rsid w:val="00991F92"/>
    <w:rsid w:val="00992985"/>
    <w:rsid w:val="00993889"/>
    <w:rsid w:val="00994241"/>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633"/>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7039"/>
    <w:rsid w:val="009F03B3"/>
    <w:rsid w:val="009F2380"/>
    <w:rsid w:val="00A0096C"/>
    <w:rsid w:val="00A01757"/>
    <w:rsid w:val="00A028C0"/>
    <w:rsid w:val="00A02BAE"/>
    <w:rsid w:val="00A05ADA"/>
    <w:rsid w:val="00A06A6B"/>
    <w:rsid w:val="00A06FD5"/>
    <w:rsid w:val="00A07E47"/>
    <w:rsid w:val="00A127C6"/>
    <w:rsid w:val="00A129D0"/>
    <w:rsid w:val="00A12C33"/>
    <w:rsid w:val="00A138BA"/>
    <w:rsid w:val="00A14C8E"/>
    <w:rsid w:val="00A153D9"/>
    <w:rsid w:val="00A15AEB"/>
    <w:rsid w:val="00A15D1B"/>
    <w:rsid w:val="00A15F09"/>
    <w:rsid w:val="00A16048"/>
    <w:rsid w:val="00A169B6"/>
    <w:rsid w:val="00A2271D"/>
    <w:rsid w:val="00A237D5"/>
    <w:rsid w:val="00A30EFC"/>
    <w:rsid w:val="00A31984"/>
    <w:rsid w:val="00A32D73"/>
    <w:rsid w:val="00A3367B"/>
    <w:rsid w:val="00A3597D"/>
    <w:rsid w:val="00A36DD1"/>
    <w:rsid w:val="00A379E7"/>
    <w:rsid w:val="00A4006C"/>
    <w:rsid w:val="00A40091"/>
    <w:rsid w:val="00A4030F"/>
    <w:rsid w:val="00A41C79"/>
    <w:rsid w:val="00A41CB5"/>
    <w:rsid w:val="00A42CDF"/>
    <w:rsid w:val="00A4452E"/>
    <w:rsid w:val="00A4472C"/>
    <w:rsid w:val="00A44AAC"/>
    <w:rsid w:val="00A44E69"/>
    <w:rsid w:val="00A4661E"/>
    <w:rsid w:val="00A5046B"/>
    <w:rsid w:val="00A55BD6"/>
    <w:rsid w:val="00A55D50"/>
    <w:rsid w:val="00A563B8"/>
    <w:rsid w:val="00A57142"/>
    <w:rsid w:val="00A64685"/>
    <w:rsid w:val="00A648CD"/>
    <w:rsid w:val="00A6537A"/>
    <w:rsid w:val="00A67866"/>
    <w:rsid w:val="00A70B07"/>
    <w:rsid w:val="00A723F8"/>
    <w:rsid w:val="00A77CCB"/>
    <w:rsid w:val="00A8157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0FB"/>
    <w:rsid w:val="00AB41D5"/>
    <w:rsid w:val="00AB6309"/>
    <w:rsid w:val="00AB6C5F"/>
    <w:rsid w:val="00AB7129"/>
    <w:rsid w:val="00AC27A6"/>
    <w:rsid w:val="00AC30F7"/>
    <w:rsid w:val="00AC3A5A"/>
    <w:rsid w:val="00AC4D95"/>
    <w:rsid w:val="00AC5DF4"/>
    <w:rsid w:val="00AD0AEF"/>
    <w:rsid w:val="00AD11B7"/>
    <w:rsid w:val="00AD12BF"/>
    <w:rsid w:val="00AD1A94"/>
    <w:rsid w:val="00AD1C05"/>
    <w:rsid w:val="00AD4126"/>
    <w:rsid w:val="00AD421C"/>
    <w:rsid w:val="00AD44FA"/>
    <w:rsid w:val="00AE070A"/>
    <w:rsid w:val="00AE101C"/>
    <w:rsid w:val="00AE37E5"/>
    <w:rsid w:val="00AE5EB4"/>
    <w:rsid w:val="00AF0C18"/>
    <w:rsid w:val="00AF460C"/>
    <w:rsid w:val="00AF47C5"/>
    <w:rsid w:val="00AF5398"/>
    <w:rsid w:val="00B049AF"/>
    <w:rsid w:val="00B07242"/>
    <w:rsid w:val="00B10534"/>
    <w:rsid w:val="00B113DB"/>
    <w:rsid w:val="00B11D8A"/>
    <w:rsid w:val="00B121E8"/>
    <w:rsid w:val="00B12981"/>
    <w:rsid w:val="00B147DD"/>
    <w:rsid w:val="00B156FD"/>
    <w:rsid w:val="00B1602D"/>
    <w:rsid w:val="00B21F61"/>
    <w:rsid w:val="00B261F1"/>
    <w:rsid w:val="00B265BC"/>
    <w:rsid w:val="00B31F5A"/>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5DE"/>
    <w:rsid w:val="00B72880"/>
    <w:rsid w:val="00B7479C"/>
    <w:rsid w:val="00B758BF"/>
    <w:rsid w:val="00B77EC8"/>
    <w:rsid w:val="00B827A6"/>
    <w:rsid w:val="00B828EC"/>
    <w:rsid w:val="00B831CE"/>
    <w:rsid w:val="00B86677"/>
    <w:rsid w:val="00B87131"/>
    <w:rsid w:val="00B92BA1"/>
    <w:rsid w:val="00B939B1"/>
    <w:rsid w:val="00B96D40"/>
    <w:rsid w:val="00B97386"/>
    <w:rsid w:val="00B977D1"/>
    <w:rsid w:val="00BA1C98"/>
    <w:rsid w:val="00BA263B"/>
    <w:rsid w:val="00BA42B2"/>
    <w:rsid w:val="00BA449A"/>
    <w:rsid w:val="00BA58D4"/>
    <w:rsid w:val="00BA5B9E"/>
    <w:rsid w:val="00BA7C9A"/>
    <w:rsid w:val="00BA7DA5"/>
    <w:rsid w:val="00BB203B"/>
    <w:rsid w:val="00BB5F8F"/>
    <w:rsid w:val="00BB657A"/>
    <w:rsid w:val="00BC1A4E"/>
    <w:rsid w:val="00BC3AD3"/>
    <w:rsid w:val="00BC4790"/>
    <w:rsid w:val="00BC5DC7"/>
    <w:rsid w:val="00BC6B8B"/>
    <w:rsid w:val="00BC73D8"/>
    <w:rsid w:val="00BD36AE"/>
    <w:rsid w:val="00BD52D7"/>
    <w:rsid w:val="00BD5AD2"/>
    <w:rsid w:val="00BE0704"/>
    <w:rsid w:val="00BE22F3"/>
    <w:rsid w:val="00BE5B52"/>
    <w:rsid w:val="00BE7B8D"/>
    <w:rsid w:val="00BF01AC"/>
    <w:rsid w:val="00BF0993"/>
    <w:rsid w:val="00BF10A9"/>
    <w:rsid w:val="00BF1703"/>
    <w:rsid w:val="00BF231C"/>
    <w:rsid w:val="00BF51E5"/>
    <w:rsid w:val="00BF74A6"/>
    <w:rsid w:val="00C013AD"/>
    <w:rsid w:val="00C04606"/>
    <w:rsid w:val="00C04904"/>
    <w:rsid w:val="00C056B3"/>
    <w:rsid w:val="00C103E5"/>
    <w:rsid w:val="00C13319"/>
    <w:rsid w:val="00C13EE9"/>
    <w:rsid w:val="00C17723"/>
    <w:rsid w:val="00C21540"/>
    <w:rsid w:val="00C21906"/>
    <w:rsid w:val="00C21BFA"/>
    <w:rsid w:val="00C22148"/>
    <w:rsid w:val="00C24C8D"/>
    <w:rsid w:val="00C25C3C"/>
    <w:rsid w:val="00C25FE2"/>
    <w:rsid w:val="00C26B53"/>
    <w:rsid w:val="00C279B2"/>
    <w:rsid w:val="00C33E50"/>
    <w:rsid w:val="00C34C20"/>
    <w:rsid w:val="00C35A3E"/>
    <w:rsid w:val="00C42130"/>
    <w:rsid w:val="00C423A4"/>
    <w:rsid w:val="00C44BF5"/>
    <w:rsid w:val="00C521D6"/>
    <w:rsid w:val="00C55232"/>
    <w:rsid w:val="00C552D0"/>
    <w:rsid w:val="00C553A4"/>
    <w:rsid w:val="00C55A06"/>
    <w:rsid w:val="00C55D03"/>
    <w:rsid w:val="00C601BC"/>
    <w:rsid w:val="00C63046"/>
    <w:rsid w:val="00C6329F"/>
    <w:rsid w:val="00C63340"/>
    <w:rsid w:val="00C643F9"/>
    <w:rsid w:val="00C64E95"/>
    <w:rsid w:val="00C71372"/>
    <w:rsid w:val="00C72410"/>
    <w:rsid w:val="00C7287F"/>
    <w:rsid w:val="00C74A81"/>
    <w:rsid w:val="00C74ECC"/>
    <w:rsid w:val="00C80CB8"/>
    <w:rsid w:val="00C819F8"/>
    <w:rsid w:val="00C81E56"/>
    <w:rsid w:val="00C82453"/>
    <w:rsid w:val="00C8248C"/>
    <w:rsid w:val="00C84E33"/>
    <w:rsid w:val="00C86D6F"/>
    <w:rsid w:val="00C905FC"/>
    <w:rsid w:val="00C90F6A"/>
    <w:rsid w:val="00C92D03"/>
    <w:rsid w:val="00C9319C"/>
    <w:rsid w:val="00C9435D"/>
    <w:rsid w:val="00C94DF2"/>
    <w:rsid w:val="00C96741"/>
    <w:rsid w:val="00CA2D1B"/>
    <w:rsid w:val="00CA375D"/>
    <w:rsid w:val="00CA662A"/>
    <w:rsid w:val="00CA6AA9"/>
    <w:rsid w:val="00CA7AFD"/>
    <w:rsid w:val="00CA7C3C"/>
    <w:rsid w:val="00CB0189"/>
    <w:rsid w:val="00CB0BA2"/>
    <w:rsid w:val="00CB1A42"/>
    <w:rsid w:val="00CB1B0C"/>
    <w:rsid w:val="00CB2C0B"/>
    <w:rsid w:val="00CB32E0"/>
    <w:rsid w:val="00CB517D"/>
    <w:rsid w:val="00CC038D"/>
    <w:rsid w:val="00CC08DB"/>
    <w:rsid w:val="00CC23EF"/>
    <w:rsid w:val="00CC2E7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E7A"/>
    <w:rsid w:val="00CE0C4F"/>
    <w:rsid w:val="00CE25C5"/>
    <w:rsid w:val="00CE30EA"/>
    <w:rsid w:val="00CE6340"/>
    <w:rsid w:val="00CF048A"/>
    <w:rsid w:val="00CF155A"/>
    <w:rsid w:val="00CF2947"/>
    <w:rsid w:val="00CF686F"/>
    <w:rsid w:val="00CF6E60"/>
    <w:rsid w:val="00CF7BCA"/>
    <w:rsid w:val="00D008FD"/>
    <w:rsid w:val="00D0321C"/>
    <w:rsid w:val="00D035EC"/>
    <w:rsid w:val="00D04C6D"/>
    <w:rsid w:val="00D06AB1"/>
    <w:rsid w:val="00D072ED"/>
    <w:rsid w:val="00D07A16"/>
    <w:rsid w:val="00D1043D"/>
    <w:rsid w:val="00D1067E"/>
    <w:rsid w:val="00D10F50"/>
    <w:rsid w:val="00D11272"/>
    <w:rsid w:val="00D126F5"/>
    <w:rsid w:val="00D1489E"/>
    <w:rsid w:val="00D14E7C"/>
    <w:rsid w:val="00D15D54"/>
    <w:rsid w:val="00D20737"/>
    <w:rsid w:val="00D21E81"/>
    <w:rsid w:val="00D223DE"/>
    <w:rsid w:val="00D25B99"/>
    <w:rsid w:val="00D25E37"/>
    <w:rsid w:val="00D2661A"/>
    <w:rsid w:val="00D27582"/>
    <w:rsid w:val="00D27EC4"/>
    <w:rsid w:val="00D32719"/>
    <w:rsid w:val="00D33333"/>
    <w:rsid w:val="00D33457"/>
    <w:rsid w:val="00D34739"/>
    <w:rsid w:val="00D352A2"/>
    <w:rsid w:val="00D36112"/>
    <w:rsid w:val="00D36B99"/>
    <w:rsid w:val="00D374F3"/>
    <w:rsid w:val="00D37813"/>
    <w:rsid w:val="00D4162B"/>
    <w:rsid w:val="00D4514F"/>
    <w:rsid w:val="00D451E2"/>
    <w:rsid w:val="00D45E89"/>
    <w:rsid w:val="00D45E8D"/>
    <w:rsid w:val="00D466AE"/>
    <w:rsid w:val="00D4734F"/>
    <w:rsid w:val="00D47448"/>
    <w:rsid w:val="00D475A2"/>
    <w:rsid w:val="00D51BF3"/>
    <w:rsid w:val="00D66846"/>
    <w:rsid w:val="00D675FB"/>
    <w:rsid w:val="00D71F25"/>
    <w:rsid w:val="00D72A9C"/>
    <w:rsid w:val="00D75413"/>
    <w:rsid w:val="00D77031"/>
    <w:rsid w:val="00D775B0"/>
    <w:rsid w:val="00D84941"/>
    <w:rsid w:val="00D84FA1"/>
    <w:rsid w:val="00D851F0"/>
    <w:rsid w:val="00D86DB7"/>
    <w:rsid w:val="00D926D0"/>
    <w:rsid w:val="00D93030"/>
    <w:rsid w:val="00D950E1"/>
    <w:rsid w:val="00D952A6"/>
    <w:rsid w:val="00D952F4"/>
    <w:rsid w:val="00D97234"/>
    <w:rsid w:val="00D97F99"/>
    <w:rsid w:val="00DA07C5"/>
    <w:rsid w:val="00DA1E08"/>
    <w:rsid w:val="00DA24F8"/>
    <w:rsid w:val="00DA28E8"/>
    <w:rsid w:val="00DA38D3"/>
    <w:rsid w:val="00DA3932"/>
    <w:rsid w:val="00DA3AFC"/>
    <w:rsid w:val="00DA3CE8"/>
    <w:rsid w:val="00DA5191"/>
    <w:rsid w:val="00DA64F8"/>
    <w:rsid w:val="00DA6C15"/>
    <w:rsid w:val="00DB0258"/>
    <w:rsid w:val="00DB38EE"/>
    <w:rsid w:val="00DB498B"/>
    <w:rsid w:val="00DB66CA"/>
    <w:rsid w:val="00DB6BCA"/>
    <w:rsid w:val="00DB73F7"/>
    <w:rsid w:val="00DC0321"/>
    <w:rsid w:val="00DC1037"/>
    <w:rsid w:val="00DC3067"/>
    <w:rsid w:val="00DC35D1"/>
    <w:rsid w:val="00DC370B"/>
    <w:rsid w:val="00DC5B90"/>
    <w:rsid w:val="00DD00FF"/>
    <w:rsid w:val="00DD0619"/>
    <w:rsid w:val="00DD07FB"/>
    <w:rsid w:val="00DD25C6"/>
    <w:rsid w:val="00DD4FE5"/>
    <w:rsid w:val="00DD54B0"/>
    <w:rsid w:val="00DD57EE"/>
    <w:rsid w:val="00DD6BCC"/>
    <w:rsid w:val="00DE0A4B"/>
    <w:rsid w:val="00DE0F5B"/>
    <w:rsid w:val="00DE2410"/>
    <w:rsid w:val="00DE2939"/>
    <w:rsid w:val="00DE4213"/>
    <w:rsid w:val="00DE6E81"/>
    <w:rsid w:val="00DE703F"/>
    <w:rsid w:val="00DE7595"/>
    <w:rsid w:val="00DF1961"/>
    <w:rsid w:val="00DF44DE"/>
    <w:rsid w:val="00DF5F11"/>
    <w:rsid w:val="00E01138"/>
    <w:rsid w:val="00E02532"/>
    <w:rsid w:val="00E02DFB"/>
    <w:rsid w:val="00E030F9"/>
    <w:rsid w:val="00E0311A"/>
    <w:rsid w:val="00E03138"/>
    <w:rsid w:val="00E06404"/>
    <w:rsid w:val="00E065D2"/>
    <w:rsid w:val="00E10293"/>
    <w:rsid w:val="00E11A85"/>
    <w:rsid w:val="00E12495"/>
    <w:rsid w:val="00E1506C"/>
    <w:rsid w:val="00E15CCD"/>
    <w:rsid w:val="00E202EF"/>
    <w:rsid w:val="00E203E3"/>
    <w:rsid w:val="00E210B5"/>
    <w:rsid w:val="00E23D99"/>
    <w:rsid w:val="00E2552F"/>
    <w:rsid w:val="00E26E9F"/>
    <w:rsid w:val="00E3137A"/>
    <w:rsid w:val="00E32CCF"/>
    <w:rsid w:val="00E34A98"/>
    <w:rsid w:val="00E35D1E"/>
    <w:rsid w:val="00E364F9"/>
    <w:rsid w:val="00E365FA"/>
    <w:rsid w:val="00E36789"/>
    <w:rsid w:val="00E3739D"/>
    <w:rsid w:val="00E40645"/>
    <w:rsid w:val="00E44A83"/>
    <w:rsid w:val="00E47DB2"/>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7CA"/>
    <w:rsid w:val="00E9311F"/>
    <w:rsid w:val="00E934D1"/>
    <w:rsid w:val="00E94AF0"/>
    <w:rsid w:val="00E95D13"/>
    <w:rsid w:val="00E95DD3"/>
    <w:rsid w:val="00E969D5"/>
    <w:rsid w:val="00EA02E7"/>
    <w:rsid w:val="00EA58D1"/>
    <w:rsid w:val="00EA61BC"/>
    <w:rsid w:val="00EA681A"/>
    <w:rsid w:val="00EA735B"/>
    <w:rsid w:val="00EB17DE"/>
    <w:rsid w:val="00EB1E69"/>
    <w:rsid w:val="00EB2086"/>
    <w:rsid w:val="00EB5EDF"/>
    <w:rsid w:val="00EB60FE"/>
    <w:rsid w:val="00EB74DB"/>
    <w:rsid w:val="00EC5359"/>
    <w:rsid w:val="00EC562A"/>
    <w:rsid w:val="00ED067A"/>
    <w:rsid w:val="00ED15ED"/>
    <w:rsid w:val="00ED2B50"/>
    <w:rsid w:val="00ED3996"/>
    <w:rsid w:val="00EE0350"/>
    <w:rsid w:val="00EE0719"/>
    <w:rsid w:val="00EE0E80"/>
    <w:rsid w:val="00EE54A6"/>
    <w:rsid w:val="00EE613F"/>
    <w:rsid w:val="00EE7295"/>
    <w:rsid w:val="00EE7869"/>
    <w:rsid w:val="00EF054A"/>
    <w:rsid w:val="00EF3235"/>
    <w:rsid w:val="00EF551E"/>
    <w:rsid w:val="00EF7E72"/>
    <w:rsid w:val="00F00F99"/>
    <w:rsid w:val="00F02B4C"/>
    <w:rsid w:val="00F06D37"/>
    <w:rsid w:val="00F07B9D"/>
    <w:rsid w:val="00F11586"/>
    <w:rsid w:val="00F1183B"/>
    <w:rsid w:val="00F11C9F"/>
    <w:rsid w:val="00F12263"/>
    <w:rsid w:val="00F1409D"/>
    <w:rsid w:val="00F14214"/>
    <w:rsid w:val="00F1559E"/>
    <w:rsid w:val="00F157A9"/>
    <w:rsid w:val="00F15824"/>
    <w:rsid w:val="00F2391A"/>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16D"/>
    <w:rsid w:val="00F81141"/>
    <w:rsid w:val="00F833BA"/>
    <w:rsid w:val="00F84FD0"/>
    <w:rsid w:val="00F859A8"/>
    <w:rsid w:val="00F86D87"/>
    <w:rsid w:val="00F9108B"/>
    <w:rsid w:val="00F91349"/>
    <w:rsid w:val="00F93A8A"/>
    <w:rsid w:val="00F94231"/>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0601"/>
    <w:rsid w:val="00FC17B7"/>
    <w:rsid w:val="00FC18A1"/>
    <w:rsid w:val="00FC230B"/>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511"/>
    <w:rsid w:val="00FF730C"/>
    <w:rsid w:val="00FF73F4"/>
    <w:rsid w:val="00FF7CE4"/>
    <w:rsid w:val="00FF7E39"/>
    <w:rsid w:val="024B0DE6"/>
    <w:rsid w:val="056D134B"/>
    <w:rsid w:val="0DC96F63"/>
    <w:rsid w:val="0FCB4DF5"/>
    <w:rsid w:val="17AF3B21"/>
    <w:rsid w:val="1A644627"/>
    <w:rsid w:val="1CEA3809"/>
    <w:rsid w:val="1D334B18"/>
    <w:rsid w:val="1EA628CB"/>
    <w:rsid w:val="20520081"/>
    <w:rsid w:val="2126129D"/>
    <w:rsid w:val="28BC550F"/>
    <w:rsid w:val="349B14DC"/>
    <w:rsid w:val="3C41413B"/>
    <w:rsid w:val="47F67F72"/>
    <w:rsid w:val="48E069D4"/>
    <w:rsid w:val="4D7C38E7"/>
    <w:rsid w:val="54CD6510"/>
    <w:rsid w:val="5C5D0D87"/>
    <w:rsid w:val="5FA249C0"/>
    <w:rsid w:val="68141088"/>
    <w:rsid w:val="6AE15E54"/>
    <w:rsid w:val="720B2CDD"/>
    <w:rsid w:val="73901E7F"/>
    <w:rsid w:val="764D731F"/>
    <w:rsid w:val="7690544E"/>
    <w:rsid w:val="7EE96C68"/>
    <w:rsid w:val="7F7C01CE"/>
    <w:rsid w:val="7F8C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ind w:left="1134"/>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vAnchor="page" w:hAnchor="page" w:x="1419" w:y="14097"/>
    </w:pPr>
  </w:style>
  <w:style w:type="paragraph" w:customStyle="1" w:styleId="194">
    <w:name w:val="其他实施日期"/>
    <w:basedOn w:val="154"/>
    <w:autoRedefine/>
    <w:qFormat/>
    <w:uiPriority w:val="0"/>
    <w:pPr>
      <w:framePr w:w="3997" w:h="471" w:hRule="exact" w:vSpace="181" w:vAnchor="page" w:hAnchor="page" w:x="7089" w:y="14097"/>
    </w:pPr>
  </w:style>
  <w:style w:type="paragraph" w:customStyle="1" w:styleId="195">
    <w:name w:val="标准文件_文件编号"/>
    <w:basedOn w:val="56"/>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附录表标号"/>
    <w:basedOn w:val="1"/>
    <w:next w:val="1"/>
    <w:autoRedefine/>
    <w:qFormat/>
    <w:uiPriority w:val="0"/>
    <w:pPr>
      <w:numPr>
        <w:ilvl w:val="0"/>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31">
    <w:name w:val="附录表标题"/>
    <w:basedOn w:val="1"/>
    <w:next w:val="1"/>
    <w:autoRedefine/>
    <w:qFormat/>
    <w:uiPriority w:val="0"/>
    <w:pPr>
      <w:numPr>
        <w:ilvl w:val="1"/>
        <w:numId w:val="32"/>
      </w:numPr>
      <w:tabs>
        <w:tab w:val="left" w:pos="180"/>
      </w:tabs>
      <w:adjustRightInd/>
      <w:spacing w:beforeLines="50" w:afterLines="50" w:line="240" w:lineRule="auto"/>
      <w:ind w:left="0" w:firstLine="0"/>
      <w:jc w:val="center"/>
    </w:pPr>
    <w:rPr>
      <w:rFonts w:ascii="黑体" w:hAnsi="Times New Roman" w:eastAsia="黑体"/>
    </w:rPr>
  </w:style>
  <w:style w:type="table" w:customStyle="1" w:styleId="232">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3">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4">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5">
    <w:name w:val="终结线"/>
    <w:basedOn w:val="1"/>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99BBAE18E3D4B2B832F6B0864B5C22E"/>
        <w:style w:val=""/>
        <w:category>
          <w:name w:val="常规"/>
          <w:gallery w:val="placeholder"/>
        </w:category>
        <w:types>
          <w:type w:val="bbPlcHdr"/>
        </w:types>
        <w:behaviors>
          <w:behavior w:val="content"/>
        </w:behaviors>
        <w:description w:val=""/>
        <w:guid w:val="{8E520475-1E1D-4F95-B738-BBAE1553769F}"/>
      </w:docPartPr>
      <w:docPartBody>
        <w:p>
          <w:pPr>
            <w:pStyle w:val="5"/>
          </w:pPr>
          <w:r>
            <w:rPr>
              <w:rStyle w:val="4"/>
              <w:rFonts w:hint="eastAsia"/>
            </w:rPr>
            <w:t>单击或点击此处输入文字。</w:t>
          </w:r>
        </w:p>
      </w:docPartBody>
    </w:docPart>
    <w:docPart>
      <w:docPartPr>
        <w:name w:val="EDE4A51F14F64D47A0EABB74E740C499"/>
        <w:style w:val=""/>
        <w:category>
          <w:name w:val="常规"/>
          <w:gallery w:val="placeholder"/>
        </w:category>
        <w:types>
          <w:type w:val="bbPlcHdr"/>
        </w:types>
        <w:behaviors>
          <w:behavior w:val="content"/>
        </w:behaviors>
        <w:description w:val=""/>
        <w:guid w:val="{AFD03D6D-EBA8-445E-AB61-5E3C2FEF2D8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68"/>
    <w:rsid w:val="00007654"/>
    <w:rsid w:val="00080F4A"/>
    <w:rsid w:val="000D7233"/>
    <w:rsid w:val="000E060D"/>
    <w:rsid w:val="001C2DB7"/>
    <w:rsid w:val="00221DB4"/>
    <w:rsid w:val="002E0019"/>
    <w:rsid w:val="00411460"/>
    <w:rsid w:val="004301D6"/>
    <w:rsid w:val="00447C4E"/>
    <w:rsid w:val="00457597"/>
    <w:rsid w:val="00506DD5"/>
    <w:rsid w:val="0052129D"/>
    <w:rsid w:val="005B774F"/>
    <w:rsid w:val="00683438"/>
    <w:rsid w:val="006C3D48"/>
    <w:rsid w:val="00712C68"/>
    <w:rsid w:val="00794BF0"/>
    <w:rsid w:val="008211C6"/>
    <w:rsid w:val="00841433"/>
    <w:rsid w:val="009522FD"/>
    <w:rsid w:val="009B4828"/>
    <w:rsid w:val="00A60E24"/>
    <w:rsid w:val="00C61F82"/>
    <w:rsid w:val="00D67045"/>
    <w:rsid w:val="00DE65AF"/>
    <w:rsid w:val="00E43430"/>
    <w:rsid w:val="00F10303"/>
    <w:rsid w:val="00FE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99BBAE18E3D4B2B832F6B0864B5C2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1FB8E60B1A940AA9ACA06AF4B2A53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DE4A51F14F64D47A0EABB74E740C49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textDirection val="V_L2R_D2U_T"/>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4B217-A159-4A8C-98B5-8EC87614046E}">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686</Words>
  <Characters>3913</Characters>
  <Lines>32</Lines>
  <Paragraphs>9</Paragraphs>
  <TotalTime>1373</TotalTime>
  <ScaleCrop>false</ScaleCrop>
  <LinksUpToDate>false</LinksUpToDate>
  <CharactersWithSpaces>4590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2023-04-26T13:47:00Z</dcterms:created>
  <dc:creator>TYC</dc:creator>
  <dc:description>&lt;config cover="true" show_menu="true" version="1.0.0" doctype="SDKXY"&gt;_x000d_
&lt;/config&gt;</dc:description>
  <cp:lastModifiedBy>伟琦</cp:lastModifiedBy>
  <cp:lastPrinted>2023-08-07T10:22:00Z</cp:lastPrinted>
  <dcterms:modified xsi:type="dcterms:W3CDTF">2024-05-21T12:45:42Z</dcterms:modified>
  <dc:title>地方标准</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2BFF90E0144F4EA9B565F6EAD42DA25C_13</vt:lpwstr>
  </property>
</Properties>
</file>