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34F50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DA879FC">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35CAA11">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hint="eastAsia" w:ascii="黑体" w:hAnsi="黑体" w:eastAsia="黑体"/>
                <w:sz w:val="21"/>
                <w:szCs w:val="21"/>
              </w:rPr>
              <w:fldChar w:fldCharType="begin">
                <w:ffData>
                  <w:name w:val="ICS"/>
                  <w:enabled/>
                  <w:calcOnExit w:val="0"/>
                  <w:textInput>
                    <w:default w:val="03.040"/>
                  </w:textInput>
                </w:ffData>
              </w:fldChar>
            </w:r>
            <w:bookmarkStart w:id="0" w:name="ICS"/>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03.040</w:t>
            </w:r>
            <w:r>
              <w:rPr>
                <w:rFonts w:hint="eastAsia" w:ascii="黑体" w:hAnsi="黑体" w:eastAsia="黑体"/>
                <w:sz w:val="21"/>
                <w:szCs w:val="21"/>
              </w:rPr>
              <w:fldChar w:fldCharType="end"/>
            </w:r>
            <w:bookmarkEnd w:id="0"/>
          </w:p>
        </w:tc>
      </w:tr>
      <w:tr w14:paraId="32377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75E490E">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37256F9C">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hint="eastAsia" w:ascii="黑体" w:hAnsi="黑体" w:eastAsia="黑体"/>
                <w:sz w:val="21"/>
                <w:szCs w:val="21"/>
              </w:rPr>
              <w:fldChar w:fldCharType="begin">
                <w:ffData>
                  <w:name w:val="CSDN"/>
                  <w:enabled/>
                  <w:calcOnExit w:val="0"/>
                  <w:textInput>
                    <w:default w:val="A 12"/>
                  </w:textInput>
                </w:ffData>
              </w:fldChar>
            </w:r>
            <w:bookmarkStart w:id="1" w:name="CSDN"/>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A 12</w:t>
            </w:r>
            <w:r>
              <w:rPr>
                <w:rFonts w:hint="eastAsia"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35D9F4B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14:paraId="1614C518">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default w:val="3502"/>
                    <w:maxLength w:val="8"/>
                  </w:textInput>
                </w:ffData>
              </w:fldChar>
            </w:r>
            <w:bookmarkStart w:id="3" w:name="c1"/>
            <w:r>
              <w:instrText xml:space="preserve"> FORMTEXT </w:instrText>
            </w:r>
            <w:r>
              <w:fldChar w:fldCharType="separate"/>
            </w:r>
            <w:r>
              <w:t>3502</w:t>
            </w:r>
            <w:r>
              <w:fldChar w:fldCharType="end"/>
            </w:r>
            <w:bookmarkEnd w:id="3"/>
          </w:p>
        </w:tc>
      </w:tr>
    </w:tbl>
    <w:p w14:paraId="058E303B">
      <w:pPr>
        <w:pStyle w:val="50"/>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福建省厦门市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3ADD04CD">
      <w:pPr>
        <w:pStyle w:val="195"/>
        <w:framePr/>
        <w:rPr>
          <w:lang w:val="fr-FR"/>
        </w:rPr>
      </w:pPr>
      <w:r>
        <w:rPr>
          <w:lang w:val="fr-FR"/>
        </w:rPr>
        <w:t>DB</w:t>
      </w:r>
      <w:r>
        <w:fldChar w:fldCharType="begin">
          <w:ffData>
            <w:name w:val="文字1"/>
            <w:enabled/>
            <w:calcOnExit w:val="0"/>
            <w:textInput>
              <w:default w:val="3502/T"/>
            </w:textInput>
          </w:ffData>
        </w:fldChar>
      </w:r>
      <w:bookmarkStart w:id="5" w:name="文字1"/>
      <w:r>
        <w:instrText xml:space="preserve"> FORMTEXT </w:instrText>
      </w:r>
      <w:r>
        <w:fldChar w:fldCharType="separate"/>
      </w:r>
      <w:r>
        <w:t>3502/T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2024</w:t>
      </w:r>
      <w:r>
        <w:fldChar w:fldCharType="end"/>
      </w:r>
      <w:bookmarkEnd w:id="7"/>
    </w:p>
    <w:p w14:paraId="4C0DFD3F">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4FB92C62">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DE884EB">
      <w:pPr>
        <w:pStyle w:val="50"/>
        <w:framePr w:w="9639" w:h="6976" w:hRule="exact" w:hSpace="0" w:vSpace="0" w:wrap="around" w:hAnchor="page" w:y="6408"/>
        <w:jc w:val="center"/>
        <w:rPr>
          <w:rFonts w:hint="eastAsia" w:ascii="黑体" w:hAnsi="黑体" w:eastAsia="黑体"/>
          <w:b w:val="0"/>
          <w:bCs w:val="0"/>
          <w:w w:val="100"/>
        </w:rPr>
      </w:pPr>
    </w:p>
    <w:p w14:paraId="2C3FF2A1">
      <w:pPr>
        <w:pStyle w:val="197"/>
        <w:framePr w:h="6974" w:hRule="exact" w:wrap="around" w:x="1419" w:anchorLock="1"/>
        <w:rPr>
          <w:rFonts w:hint="eastAsia"/>
        </w:rPr>
      </w:pPr>
      <w:bookmarkStart w:id="80" w:name="_GoBack"/>
      <w:r>
        <w:rPr>
          <w:rFonts w:hint="eastAsia"/>
        </w:rPr>
        <w:fldChar w:fldCharType="begin">
          <w:ffData>
            <w:name w:val="CSTD_NAME"/>
            <w:enabled/>
            <w:calcOnExit w:val="0"/>
            <w:textInput>
              <w:default w:val="海峡两岸共通职业指导服务规范"/>
            </w:textInput>
          </w:ffData>
        </w:fldChar>
      </w:r>
      <w:bookmarkStart w:id="9" w:name="CSTD_NAME"/>
      <w:r>
        <w:rPr>
          <w:rFonts w:hint="eastAsia"/>
        </w:rPr>
        <w:instrText xml:space="preserve"> FORMTEXT </w:instrText>
      </w:r>
      <w:r>
        <w:rPr>
          <w:rFonts w:hint="eastAsia"/>
        </w:rPr>
        <w:fldChar w:fldCharType="separate"/>
      </w:r>
      <w:r>
        <w:rPr>
          <w:rFonts w:hint="eastAsia"/>
        </w:rPr>
        <w:t>职业指导服务规范</w:t>
      </w:r>
      <w:r>
        <w:rPr>
          <w:rFonts w:hint="eastAsia"/>
        </w:rPr>
        <w:fldChar w:fldCharType="end"/>
      </w:r>
      <w:bookmarkEnd w:id="80"/>
      <w:bookmarkEnd w:id="9"/>
    </w:p>
    <w:p w14:paraId="2C4BDA5D">
      <w:pPr>
        <w:framePr w:w="9639" w:h="6974" w:hRule="exact" w:wrap="around" w:vAnchor="page" w:hAnchor="page" w:x="1419" w:y="6408" w:anchorLock="1"/>
        <w:ind w:left="-1418"/>
      </w:pPr>
    </w:p>
    <w:p w14:paraId="7504ED63">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Cross-strait integrated development——Vocational guidance service standards"/>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Vocational guidance service standards</w:t>
      </w:r>
      <w:r>
        <w:rPr>
          <w:rFonts w:eastAsia="黑体"/>
          <w:szCs w:val="28"/>
        </w:rPr>
        <w:fldChar w:fldCharType="end"/>
      </w:r>
      <w:bookmarkEnd w:id="10"/>
    </w:p>
    <w:p w14:paraId="5913D35E">
      <w:pPr>
        <w:framePr w:w="9639" w:h="6974" w:hRule="exact" w:wrap="around" w:vAnchor="page" w:hAnchor="page" w:x="1419" w:y="6408" w:anchorLock="1"/>
        <w:spacing w:line="760" w:lineRule="exact"/>
        <w:ind w:left="-1418"/>
      </w:pPr>
    </w:p>
    <w:p w14:paraId="68A0A645">
      <w:pPr>
        <w:pStyle w:val="125"/>
        <w:framePr w:w="9639" w:h="6974" w:hRule="exact" w:wrap="around" w:vAnchor="page" w:hAnchor="page" w:x="1419" w:y="6408" w:anchorLock="1"/>
        <w:textAlignment w:val="bottom"/>
        <w:rPr>
          <w:rFonts w:eastAsia="黑体"/>
          <w:szCs w:val="28"/>
        </w:rPr>
      </w:pPr>
    </w:p>
    <w:p w14:paraId="6BFC802E">
      <w:pPr>
        <w:pStyle w:val="125"/>
        <w:framePr w:w="9639" w:h="6974" w:hRule="exact" w:wrap="around" w:vAnchor="page" w:hAnchor="page" w:x="1419" w:y="6408" w:anchorLock="1"/>
        <w:pBdr>
          <w:top w:val="none" w:sz="0" w:space="0"/>
          <w:left w:val="none" w:sz="0" w:space="0"/>
          <w:bottom w:val="none" w:sz="0" w:space="0"/>
          <w:right w:val="none" w:sz="0" w:space="0"/>
        </w:pBdr>
        <w:spacing w:before="440" w:after="160"/>
        <w:textAlignment w:val="bottom"/>
        <w:rPr>
          <w:sz w:val="24"/>
          <w:szCs w:val="28"/>
        </w:rPr>
      </w:pPr>
      <w:r>
        <w:rPr>
          <w:rFonts w:ascii="Times New Roman" w:hAnsi="Times New Roman" w:eastAsia="宋体" w:cs="Times New Roman"/>
          <w:sz w:val="24"/>
          <w:szCs w:val="28"/>
          <w:lang w:val="en-US" w:eastAsia="zh-CN" w:bidi="ar-SA"/>
        </w:rPr>
        <w:fldChar w:fldCharType="begin">
          <w:ffData>
            <w:name w:val="下拉1"/>
            <w:enabled/>
            <w:calcOnExit w:val="0"/>
            <w:ddList>
              <w:listEntry w:val="草案"/>
              <w:listEntry w:val="草案版次选择"/>
              <w:listEntry w:val="（工作组讨论稿）"/>
              <w:listEntry w:val="（征求意见稿）"/>
              <w:listEntry w:val="（送审讨论稿）"/>
              <w:listEntry w:val="（送审稿）"/>
              <w:listEntry w:val="（报批稿）"/>
              <w:listEntry w:val="草案"/>
            </w:ddList>
          </w:ffData>
        </w:fldChar>
      </w:r>
      <w:r>
        <w:rPr>
          <w:rFonts w:ascii="Times New Roman" w:hAnsi="Times New Roman" w:eastAsia="宋体" w:cs="Times New Roman"/>
          <w:sz w:val="24"/>
          <w:szCs w:val="28"/>
          <w:lang w:val="en-US" w:eastAsia="zh-CN" w:bidi="ar-SA"/>
        </w:rPr>
        <w:instrText xml:space="preserve">FORMDROPDOWN</w:instrText>
      </w:r>
      <w:r>
        <w:rPr>
          <w:rFonts w:ascii="Times New Roman" w:hAnsi="Times New Roman" w:eastAsia="宋体" w:cs="Times New Roman"/>
          <w:sz w:val="24"/>
          <w:szCs w:val="28"/>
          <w:lang w:val="en-US" w:eastAsia="zh-CN" w:bidi="ar-SA"/>
        </w:rPr>
        <w:fldChar w:fldCharType="separate"/>
      </w:r>
      <w:r>
        <w:rPr>
          <w:rFonts w:ascii="Times New Roman" w:hAnsi="Times New Roman" w:eastAsia="宋体" w:cs="Times New Roman"/>
          <w:sz w:val="24"/>
          <w:szCs w:val="28"/>
          <w:lang w:val="en-US" w:eastAsia="zh-CN" w:bidi="ar-SA"/>
        </w:rPr>
        <w:fldChar w:fldCharType="end"/>
      </w:r>
    </w:p>
    <w:p w14:paraId="5CD24CA5">
      <w:pPr>
        <w:pStyle w:val="125"/>
        <w:framePr w:w="9639" w:h="6974" w:hRule="exact" w:wrap="around" w:vAnchor="page" w:hAnchor="page" w:x="1419" w:y="6408" w:anchorLock="1"/>
        <w:pBdr>
          <w:top w:val="none" w:sz="0" w:space="0"/>
          <w:left w:val="none" w:sz="0" w:space="0"/>
          <w:bottom w:val="none" w:sz="0" w:space="0"/>
          <w:right w:val="none" w:sz="0" w:space="0"/>
        </w:pBdr>
        <w:spacing w:before="180" w:line="240" w:lineRule="atLeast"/>
        <w:textAlignment w:val="bottom"/>
        <w:rPr>
          <w:rFonts w:hint="eastAsia" w:eastAsia="宋体"/>
          <w:sz w:val="21"/>
          <w:szCs w:val="28"/>
          <w:lang w:eastAsia="zh-CN"/>
        </w:rPr>
      </w:pPr>
      <w:r>
        <w:rPr>
          <w:sz w:val="21"/>
          <w:szCs w:val="28"/>
        </w:rPr>
        <w:fldChar w:fldCharType="begin">
          <w:ffData>
            <w:name w:val="CMPLSH_DATE"/>
            <w:enabled/>
            <w:calcOnExit w:val="0"/>
            <w:textInput/>
          </w:ffData>
        </w:fldChar>
      </w:r>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w:t>
      </w:r>
      <w:r>
        <w:rPr>
          <w:rFonts w:hint="eastAsia"/>
          <w:sz w:val="21"/>
          <w:szCs w:val="28"/>
          <w:lang w:val="en-US" w:eastAsia="zh-CN"/>
        </w:rPr>
        <w:t>5</w:t>
      </w:r>
      <w:r>
        <w:rPr>
          <w:rFonts w:hint="eastAsia"/>
          <w:sz w:val="21"/>
          <w:szCs w:val="28"/>
        </w:rPr>
        <w:t>年</w:t>
      </w:r>
      <w:r>
        <w:rPr>
          <w:rFonts w:hint="eastAsia"/>
          <w:sz w:val="21"/>
          <w:szCs w:val="28"/>
          <w:lang w:val="en-US" w:eastAsia="zh-CN"/>
        </w:rPr>
        <w:t>2</w:t>
      </w:r>
      <w:r>
        <w:rPr>
          <w:rFonts w:hint="eastAsia"/>
          <w:sz w:val="21"/>
          <w:szCs w:val="28"/>
        </w:rPr>
        <w:t>月</w:t>
      </w:r>
      <w:r>
        <w:rPr>
          <w:rFonts w:hint="eastAsia"/>
          <w:sz w:val="21"/>
          <w:szCs w:val="28"/>
          <w:lang w:val="en-US" w:eastAsia="zh-CN"/>
        </w:rPr>
        <w:t>14</w:t>
      </w:r>
      <w:r>
        <w:rPr>
          <w:rFonts w:hint="eastAsia"/>
          <w:sz w:val="21"/>
          <w:szCs w:val="28"/>
        </w:rPr>
        <w:t>日）</w:t>
      </w:r>
      <w:r>
        <w:rPr>
          <w:sz w:val="21"/>
          <w:szCs w:val="28"/>
        </w:rPr>
        <w:fldChar w:fldCharType="end"/>
      </w:r>
    </w:p>
    <w:p w14:paraId="067DDD67">
      <w:pPr>
        <w:pStyle w:val="193"/>
        <w:framePr w:wrap="around" w:y="14176"/>
      </w:pPr>
      <w:r>
        <w:rPr>
          <w:rFonts w:ascii="黑体"/>
        </w:rPr>
        <w:fldChar w:fldCharType="begin">
          <w:ffData>
            <w:name w:val="PLSH_DATE_Y"/>
            <w:enabled/>
            <w:calcOnExit w:val="0"/>
            <w:textInput>
              <w:default w:val="2024"/>
              <w:maxLength w:val="4"/>
            </w:textInput>
          </w:ffData>
        </w:fldChar>
      </w:r>
      <w:bookmarkStart w:id="11" w:name="PLSH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14:paraId="25A35B09">
      <w:pPr>
        <w:pStyle w:val="194"/>
        <w:framePr w:wrap="around" w:y="14176"/>
      </w:pPr>
      <w:r>
        <w:rPr>
          <w:rFonts w:ascii="黑体"/>
        </w:rPr>
        <w:fldChar w:fldCharType="begin">
          <w:ffData>
            <w:name w:val="CROT_DATE_Y"/>
            <w:enabled/>
            <w:calcOnExit w:val="0"/>
            <w:textInput>
              <w:default w:val="2024"/>
              <w:maxLength w:val="4"/>
            </w:textInput>
          </w:ffData>
        </w:fldChar>
      </w:r>
      <w:bookmarkStart w:id="14" w:name="CROT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14:paraId="06E83EF7">
      <w:pPr>
        <w:pStyle w:val="151"/>
        <w:framePr w:h="584" w:hRule="exact" w:hSpace="181" w:vSpace="181" w:wrap="around" w:y="15027"/>
        <w:rPr>
          <w:rFonts w:hint="eastAsia" w:hAnsi="黑体"/>
        </w:rPr>
      </w:pPr>
      <w:r>
        <w:rPr>
          <w:rFonts w:hint="eastAsia" w:hAnsi="黑体"/>
          <w:w w:val="100"/>
          <w:sz w:val="28"/>
        </w:rPr>
        <w:fldChar w:fldCharType="begin">
          <w:ffData>
            <w:name w:val="fm"/>
            <w:enabled/>
            <w:calcOnExit w:val="0"/>
            <w:textInput>
              <w:default w:val="厦门市市场监督管理局"/>
            </w:textInput>
          </w:ffData>
        </w:fldChar>
      </w:r>
      <w:bookmarkStart w:id="17" w:name="fm"/>
      <w:r>
        <w:rPr>
          <w:rFonts w:hint="eastAsia" w:hAnsi="黑体"/>
          <w:w w:val="100"/>
          <w:sz w:val="28"/>
        </w:rPr>
        <w:instrText xml:space="preserve"> </w:instrText>
      </w:r>
      <w:r>
        <w:rPr>
          <w:rFonts w:hAnsi="黑体"/>
          <w:w w:val="100"/>
          <w:sz w:val="28"/>
        </w:rPr>
        <w:instrText xml:space="preserve">FORMTEXT</w:instrText>
      </w:r>
      <w:r>
        <w:rPr>
          <w:rFonts w:hint="eastAsia" w:hAnsi="黑体"/>
          <w:w w:val="100"/>
          <w:sz w:val="28"/>
        </w:rPr>
        <w:instrText xml:space="preserve"> </w:instrText>
      </w:r>
      <w:r>
        <w:rPr>
          <w:rFonts w:hint="eastAsia" w:hAnsi="黑体"/>
          <w:w w:val="100"/>
          <w:sz w:val="28"/>
        </w:rPr>
        <w:fldChar w:fldCharType="separate"/>
      </w:r>
      <w:r>
        <w:rPr>
          <w:rFonts w:hint="eastAsia" w:hAnsi="黑体"/>
          <w:w w:val="100"/>
          <w:sz w:val="28"/>
        </w:rPr>
        <w:t>厦门市市场监督管理局</w:t>
      </w:r>
      <w:r>
        <w:rPr>
          <w:rFonts w:hint="eastAsia" w:hAnsi="黑体"/>
          <w:w w:val="100"/>
          <w:sz w:val="28"/>
        </w:rPr>
        <w:fldChar w:fldCharType="end"/>
      </w:r>
      <w:bookmarkEnd w:id="17"/>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5FD42291">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1223AD6">
      <w:pPr>
        <w:pStyle w:val="91"/>
        <w:spacing w:after="468"/>
        <w:rPr>
          <w:rFonts w:hint="eastAsia"/>
        </w:rPr>
      </w:pPr>
      <w:bookmarkStart w:id="18" w:name="BookMark1"/>
      <w:bookmarkStart w:id="19" w:name="_Toc182467760"/>
      <w:bookmarkStart w:id="20" w:name="_Toc182380337"/>
      <w:bookmarkStart w:id="21" w:name="_Toc182405110"/>
      <w:r>
        <w:rPr>
          <w:rFonts w:hint="eastAsia"/>
          <w:spacing w:val="320"/>
        </w:rPr>
        <w:t>目</w:t>
      </w:r>
      <w:r>
        <w:rPr>
          <w:rFonts w:hint="eastAsia"/>
        </w:rPr>
        <w:t>次</w:t>
      </w:r>
    </w:p>
    <w:p w14:paraId="1681E18B">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TOC \o "1-1" \h </w:instrText>
      </w:r>
      <w:r>
        <w:fldChar w:fldCharType="separate"/>
      </w:r>
      <w:r>
        <w:fldChar w:fldCharType="begin"/>
      </w:r>
      <w:r>
        <w:instrText xml:space="preserve"> HYPERLINK \l "_Toc182468328"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_Toc182468328 \h</w:instrText>
      </w:r>
      <w:r>
        <w:rPr>
          <w:rFonts w:hint="eastAsia"/>
        </w:rPr>
        <w:instrText xml:space="preserve"> </w:instrText>
      </w:r>
      <w:r>
        <w:fldChar w:fldCharType="separate"/>
      </w:r>
      <w:r>
        <w:t>II</w:t>
      </w:r>
      <w:r>
        <w:rPr>
          <w:rFonts w:hint="eastAsia"/>
        </w:rPr>
        <w:fldChar w:fldCharType="end"/>
      </w:r>
      <w:r>
        <w:rPr>
          <w:rFonts w:hint="eastAsia"/>
        </w:rPr>
        <w:fldChar w:fldCharType="end"/>
      </w:r>
    </w:p>
    <w:p w14:paraId="0FB65F80">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"_Toc182468329"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_Toc182468329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627A6859">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"_Toc182468330"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_Toc182468330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0D01F6AD">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"_Toc182468331"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_Toc182468331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1F61043F">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"_Toc182468332" </w:instrText>
      </w:r>
      <w:r>
        <w:fldChar w:fldCharType="separate"/>
      </w:r>
      <w:r>
        <w:rPr>
          <w:rStyle w:val="32"/>
          <w:rFonts w:hint="eastAsia"/>
        </w:rPr>
        <w:t>4</w:t>
      </w:r>
      <w:r>
        <w:rPr>
          <w:rStyle w:val="32"/>
        </w:rPr>
        <w:t xml:space="preserve"> </w:t>
      </w:r>
      <w:r>
        <w:rPr>
          <w:rStyle w:val="32"/>
          <w:rFonts w:hint="eastAsia"/>
        </w:rPr>
        <w:t xml:space="preserve"> 服务原则</w:t>
      </w:r>
      <w:r>
        <w:rPr>
          <w:rFonts w:hint="eastAsia"/>
        </w:rPr>
        <w:tab/>
      </w:r>
      <w:r>
        <w:rPr>
          <w:rFonts w:hint="eastAsia"/>
        </w:rPr>
        <w:fldChar w:fldCharType="begin"/>
      </w:r>
      <w:r>
        <w:rPr>
          <w:rFonts w:hint="eastAsia"/>
        </w:rPr>
        <w:instrText xml:space="preserve"> </w:instrText>
      </w:r>
      <w:r>
        <w:instrText xml:space="preserve">PAGEREF _Toc182468332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67EC9D9B">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"_Toc182468333" </w:instrText>
      </w:r>
      <w:r>
        <w:fldChar w:fldCharType="separate"/>
      </w:r>
      <w:r>
        <w:rPr>
          <w:rStyle w:val="32"/>
          <w:rFonts w:hint="eastAsia"/>
        </w:rPr>
        <w:t>5</w:t>
      </w:r>
      <w:r>
        <w:rPr>
          <w:rStyle w:val="32"/>
        </w:rPr>
        <w:t xml:space="preserve"> </w:t>
      </w:r>
      <w:r>
        <w:rPr>
          <w:rStyle w:val="32"/>
          <w:rFonts w:hint="eastAsia"/>
        </w:rPr>
        <w:t xml:space="preserve"> 服务基本要求</w:t>
      </w:r>
      <w:r>
        <w:rPr>
          <w:rFonts w:hint="eastAsia"/>
        </w:rPr>
        <w:tab/>
      </w:r>
      <w:r>
        <w:rPr>
          <w:rFonts w:hint="eastAsia"/>
        </w:rPr>
        <w:fldChar w:fldCharType="begin"/>
      </w:r>
      <w:r>
        <w:rPr>
          <w:rFonts w:hint="eastAsia"/>
        </w:rPr>
        <w:instrText xml:space="preserve"> </w:instrText>
      </w:r>
      <w:r>
        <w:instrText xml:space="preserve">PAGEREF _Toc182468333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7B673067">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"_Toc182468334" </w:instrText>
      </w:r>
      <w:r>
        <w:fldChar w:fldCharType="separate"/>
      </w:r>
      <w:r>
        <w:rPr>
          <w:rStyle w:val="32"/>
          <w:rFonts w:hint="eastAsia"/>
        </w:rPr>
        <w:t>6</w:t>
      </w:r>
      <w:r>
        <w:rPr>
          <w:rStyle w:val="32"/>
        </w:rPr>
        <w:t xml:space="preserve"> </w:t>
      </w:r>
      <w:r>
        <w:rPr>
          <w:rStyle w:val="32"/>
          <w:rFonts w:hint="eastAsia"/>
        </w:rPr>
        <w:t xml:space="preserve"> 服务方式</w:t>
      </w:r>
      <w:r>
        <w:rPr>
          <w:rFonts w:hint="eastAsia"/>
        </w:rPr>
        <w:tab/>
      </w:r>
      <w:r>
        <w:rPr>
          <w:rFonts w:hint="eastAsia"/>
        </w:rPr>
        <w:fldChar w:fldCharType="begin"/>
      </w:r>
      <w:r>
        <w:rPr>
          <w:rFonts w:hint="eastAsia"/>
        </w:rPr>
        <w:instrText xml:space="preserve"> </w:instrText>
      </w:r>
      <w:r>
        <w:instrText xml:space="preserve">PAGEREF _Toc182468334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40B8CB3D">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"_Toc182468335" </w:instrText>
      </w:r>
      <w:r>
        <w:fldChar w:fldCharType="separate"/>
      </w:r>
      <w:r>
        <w:rPr>
          <w:rStyle w:val="32"/>
          <w:rFonts w:hint="eastAsia"/>
        </w:rPr>
        <w:t>7</w:t>
      </w:r>
      <w:r>
        <w:rPr>
          <w:rStyle w:val="32"/>
        </w:rPr>
        <w:t xml:space="preserve"> </w:t>
      </w:r>
      <w:r>
        <w:rPr>
          <w:rStyle w:val="32"/>
          <w:rFonts w:hint="eastAsia"/>
        </w:rPr>
        <w:t xml:space="preserve"> 服务监督与评价</w:t>
      </w:r>
      <w:r>
        <w:rPr>
          <w:rFonts w:hint="eastAsia"/>
        </w:rPr>
        <w:tab/>
      </w:r>
      <w:r>
        <w:rPr>
          <w:rFonts w:hint="eastAsia"/>
        </w:rPr>
        <w:fldChar w:fldCharType="begin"/>
      </w:r>
      <w:r>
        <w:rPr>
          <w:rFonts w:hint="eastAsia"/>
        </w:rPr>
        <w:instrText xml:space="preserve"> </w:instrText>
      </w:r>
      <w:r>
        <w:instrText xml:space="preserve">PAGEREF _Toc182468335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0C59CBB0">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"_Toc182468336" </w:instrText>
      </w:r>
      <w:r>
        <w:fldChar w:fldCharType="separate"/>
      </w:r>
      <w:r>
        <w:rPr>
          <w:rStyle w:val="32"/>
          <w:rFonts w:hint="eastAsia"/>
        </w:rPr>
        <w:t>参考文献</w:t>
      </w:r>
      <w:r>
        <w:rPr>
          <w:rFonts w:hint="eastAsia"/>
        </w:rPr>
        <w:tab/>
      </w:r>
      <w:r>
        <w:rPr>
          <w:rFonts w:hint="eastAsia"/>
        </w:rPr>
        <w:fldChar w:fldCharType="begin"/>
      </w:r>
      <w:r>
        <w:rPr>
          <w:rFonts w:hint="eastAsia"/>
        </w:rPr>
        <w:instrText xml:space="preserve"> </w:instrText>
      </w:r>
      <w:r>
        <w:instrText xml:space="preserve">PAGEREF _Toc182468336 \h</w:instrText>
      </w:r>
      <w:r>
        <w:rPr>
          <w:rFonts w:hint="eastAsia"/>
        </w:rPr>
        <w:instrText xml:space="preserve"> </w:instrText>
      </w:r>
      <w:r>
        <w:fldChar w:fldCharType="separate"/>
      </w:r>
      <w:r>
        <w:t>8</w:t>
      </w:r>
      <w:r>
        <w:rPr>
          <w:rFonts w:hint="eastAsia"/>
        </w:rPr>
        <w:fldChar w:fldCharType="end"/>
      </w:r>
      <w:r>
        <w:rPr>
          <w:rFonts w:hint="eastAsia"/>
        </w:rPr>
        <w:fldChar w:fldCharType="end"/>
      </w:r>
    </w:p>
    <w:p w14:paraId="6409F0EB">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8"/>
    <w:p w14:paraId="36FDB590">
      <w:pPr>
        <w:pStyle w:val="89"/>
        <w:spacing w:before="900" w:after="468"/>
      </w:pPr>
      <w:bookmarkStart w:id="22" w:name="_Toc182468328"/>
      <w:bookmarkStart w:id="23" w:name="BookMark2"/>
      <w:r>
        <w:rPr>
          <w:rFonts w:hint="eastAsia"/>
          <w:spacing w:val="320"/>
        </w:rPr>
        <w:t>前</w:t>
      </w:r>
      <w:r>
        <w:rPr>
          <w:rFonts w:hint="eastAsia"/>
        </w:rPr>
        <w:t>言</w:t>
      </w:r>
      <w:bookmarkEnd w:id="19"/>
      <w:bookmarkEnd w:id="20"/>
      <w:bookmarkEnd w:id="21"/>
      <w:bookmarkEnd w:id="22"/>
    </w:p>
    <w:p w14:paraId="54EB3EAE">
      <w:pPr>
        <w:pStyle w:val="56"/>
        <w:ind w:firstLine="420"/>
      </w:pPr>
      <w:r>
        <w:rPr>
          <w:rFonts w:hint="eastAsia"/>
        </w:rPr>
        <w:t>本文件按照GB/T 1.1—2020《标准化工作导则  第1部分：标准化文件的结构和起草规则》的规定起草。</w:t>
      </w:r>
    </w:p>
    <w:p w14:paraId="194B16DD">
      <w:pPr>
        <w:pStyle w:val="56"/>
        <w:ind w:firstLine="420"/>
      </w:pPr>
      <w:r>
        <w:rPr>
          <w:rFonts w:hint="eastAsia"/>
        </w:rPr>
        <w:t>请注意本文件的某些内容可能涉及专利。本文件的发布机构不承担识别专利的责任。</w:t>
      </w:r>
    </w:p>
    <w:p w14:paraId="70B8D6E0">
      <w:pPr>
        <w:pStyle w:val="56"/>
        <w:ind w:firstLine="420"/>
      </w:pPr>
      <w:r>
        <w:rPr>
          <w:rFonts w:hint="eastAsia"/>
        </w:rPr>
        <w:t>本文件由厦门市创业创新协会提出。</w:t>
      </w:r>
    </w:p>
    <w:p w14:paraId="7E185139">
      <w:pPr>
        <w:pStyle w:val="56"/>
        <w:ind w:firstLine="420"/>
      </w:pPr>
      <w:r>
        <w:rPr>
          <w:rFonts w:hint="eastAsia"/>
        </w:rPr>
        <w:t>本文件由厦门市人力资源和社会保障局归口。</w:t>
      </w:r>
    </w:p>
    <w:p w14:paraId="05F0EFAC">
      <w:pPr>
        <w:pStyle w:val="56"/>
        <w:ind w:firstLine="420"/>
      </w:pPr>
      <w:r>
        <w:rPr>
          <w:rFonts w:hint="eastAsia"/>
        </w:rPr>
        <w:t>本文件起草单位：厦门市创业创新协会、厦门市劳动就业中心、厦门市大众创业促进中心、厦门市标准化研究院、台湾亚太青年创能经贸发展协会、中华绿色产业创业协会、厦门康太捷宇健康科技有限公司（台企）、厦门市七妙人力资源服务有限公司、厦门成者就业服务有限公司、鑫创业家台湾青年就业创业基地、厦门联心良食众创空间台青基地。</w:t>
      </w:r>
    </w:p>
    <w:p w14:paraId="7798C025">
      <w:pPr>
        <w:pStyle w:val="56"/>
        <w:ind w:firstLine="420"/>
      </w:pPr>
      <w:r>
        <w:rPr>
          <w:rFonts w:hint="eastAsia"/>
        </w:rPr>
        <w:t>本文件主要起草人：柯明国、吕丽娟、夏希东、张雅娟、王宇航、李臻、王雷豪、夏希东、韩闵、林晓真、李俊尉、卢显潮、杜海彪、谢宗坤。</w:t>
      </w:r>
    </w:p>
    <w:p w14:paraId="787A2F68">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3"/>
    <w:p w14:paraId="0255C174">
      <w:pPr>
        <w:spacing w:line="20" w:lineRule="exact"/>
        <w:jc w:val="center"/>
        <w:rPr>
          <w:rFonts w:hint="eastAsia" w:ascii="黑体" w:hAnsi="黑体" w:eastAsia="黑体"/>
          <w:sz w:val="32"/>
          <w:szCs w:val="32"/>
        </w:rPr>
      </w:pPr>
      <w:bookmarkStart w:id="24" w:name="BookMark4"/>
    </w:p>
    <w:p w14:paraId="2EEB3DA2">
      <w:pPr>
        <w:spacing w:line="20" w:lineRule="exact"/>
        <w:jc w:val="center"/>
        <w:rPr>
          <w:rFonts w:hint="eastAsia" w:ascii="黑体" w:hAnsi="黑体" w:eastAsia="黑体"/>
          <w:sz w:val="32"/>
          <w:szCs w:val="32"/>
        </w:rPr>
      </w:pPr>
    </w:p>
    <w:sdt>
      <w:sdtPr>
        <w:tag w:val="NEW_STAND_NAME"/>
        <w:id w:val="595910757"/>
        <w:lock w:val="sdtLocked"/>
        <w:placeholder>
          <w:docPart w:val="92C19BF1FF764D90AB5701F1714B66DB"/>
        </w:placeholder>
      </w:sdtPr>
      <w:sdtContent>
        <w:p w14:paraId="11A83611">
          <w:pPr>
            <w:pStyle w:val="177"/>
            <w:spacing w:before="3" w:beforeLines="1" w:after="686" w:afterLines="220"/>
            <w:rPr>
              <w:rFonts w:hint="eastAsia"/>
            </w:rPr>
          </w:pPr>
          <w:bookmarkStart w:id="25" w:name="NEW_STAND_NAME"/>
          <w:r>
            <w:rPr>
              <w:rFonts w:hint="eastAsia"/>
            </w:rPr>
            <w:t>海峡两岸共通</w:t>
          </w:r>
          <w:r>
            <w:br w:type="textWrapping"/>
          </w:r>
          <w:r>
            <w:rPr>
              <w:rFonts w:hint="eastAsia"/>
            </w:rPr>
            <w:t>职业指导服务规范</w:t>
          </w:r>
        </w:p>
      </w:sdtContent>
    </w:sdt>
    <w:bookmarkEnd w:id="25"/>
    <w:p w14:paraId="7D2ED5DB">
      <w:pPr>
        <w:pStyle w:val="104"/>
        <w:spacing w:before="312" w:after="312"/>
      </w:pPr>
      <w:bookmarkStart w:id="26" w:name="_Toc97191423"/>
      <w:bookmarkStart w:id="27" w:name="_Toc26718930"/>
      <w:bookmarkStart w:id="28" w:name="_Toc26648465"/>
      <w:bookmarkStart w:id="29" w:name="_Toc26986530"/>
      <w:bookmarkStart w:id="30" w:name="_Toc182468329"/>
      <w:bookmarkStart w:id="31" w:name="_Toc182405111"/>
      <w:bookmarkStart w:id="32" w:name="_Toc182380338"/>
      <w:bookmarkStart w:id="33" w:name="_Toc17233325"/>
      <w:bookmarkStart w:id="34" w:name="_Toc17233333"/>
      <w:bookmarkStart w:id="35" w:name="_Toc26986771"/>
      <w:bookmarkStart w:id="36" w:name="_Toc182467761"/>
      <w:bookmarkStart w:id="37" w:name="_Toc24884218"/>
      <w:bookmarkStart w:id="38" w:name="_Toc24884211"/>
      <w:r>
        <w:rPr>
          <w:rFonts w:hint="eastAsia"/>
        </w:rPr>
        <w:t>范围</w:t>
      </w:r>
      <w:bookmarkEnd w:id="26"/>
      <w:bookmarkEnd w:id="27"/>
      <w:bookmarkEnd w:id="28"/>
      <w:bookmarkEnd w:id="29"/>
      <w:bookmarkEnd w:id="30"/>
      <w:bookmarkEnd w:id="31"/>
      <w:bookmarkEnd w:id="32"/>
      <w:bookmarkEnd w:id="33"/>
      <w:bookmarkEnd w:id="34"/>
      <w:bookmarkEnd w:id="35"/>
      <w:bookmarkEnd w:id="36"/>
      <w:bookmarkEnd w:id="37"/>
      <w:bookmarkEnd w:id="38"/>
    </w:p>
    <w:p w14:paraId="71A3043D">
      <w:pPr>
        <w:pStyle w:val="56"/>
        <w:ind w:firstLine="420"/>
      </w:pPr>
      <w:bookmarkStart w:id="39" w:name="_Toc17233326"/>
      <w:bookmarkStart w:id="40" w:name="_Toc24884212"/>
      <w:bookmarkStart w:id="41" w:name="_Toc24884219"/>
      <w:bookmarkStart w:id="42" w:name="_Toc17233334"/>
      <w:bookmarkStart w:id="43" w:name="_Toc26648466"/>
      <w:r>
        <w:rPr>
          <w:rFonts w:hint="eastAsia"/>
        </w:rPr>
        <w:t>本文件规定了为个人在职业发展和职业选择方面提供的职业指导服务，包含服务原则、基本要求、服务方式、人员要求、服务内容、服务监督与评价等方面的内容。</w:t>
      </w:r>
    </w:p>
    <w:p w14:paraId="08CF2ECB">
      <w:pPr>
        <w:pStyle w:val="56"/>
        <w:ind w:firstLine="420"/>
      </w:pPr>
      <w:r>
        <w:rPr>
          <w:rFonts w:hint="eastAsia"/>
        </w:rPr>
        <w:t>本文件适用于线上和线下提供职业指导服务的公共就业服务机构、职业顾问、第三方服务机构和非营利组织等。</w:t>
      </w:r>
    </w:p>
    <w:p w14:paraId="0F42DB85">
      <w:pPr>
        <w:pStyle w:val="104"/>
        <w:spacing w:before="312" w:after="312"/>
      </w:pPr>
      <w:bookmarkStart w:id="44" w:name="_Toc97191424"/>
      <w:bookmarkStart w:id="45" w:name="_Toc26718931"/>
      <w:bookmarkStart w:id="46" w:name="_Toc26986772"/>
      <w:bookmarkStart w:id="47" w:name="_Toc182467762"/>
      <w:bookmarkStart w:id="48" w:name="_Toc182405112"/>
      <w:bookmarkStart w:id="49" w:name="_Toc182468330"/>
      <w:bookmarkStart w:id="50" w:name="_Toc26986531"/>
      <w:bookmarkStart w:id="51" w:name="_Toc182380339"/>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222B6C3B25134BDDB208AE27ED7A25C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2EC3285">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FAE4D11">
      <w:pPr>
        <w:pStyle w:val="56"/>
        <w:ind w:firstLine="420"/>
      </w:pPr>
      <w:r>
        <w:rPr>
          <w:rFonts w:hint="eastAsia"/>
        </w:rPr>
        <w:t>GB/T 19038  顾客满意测评模型和方法指南</w:t>
      </w:r>
    </w:p>
    <w:p w14:paraId="0A5ACA72">
      <w:pPr>
        <w:pStyle w:val="56"/>
        <w:ind w:firstLine="420"/>
      </w:pPr>
      <w:r>
        <w:rPr>
          <w:rFonts w:hint="eastAsia"/>
        </w:rPr>
        <w:t>GB/T 19039  顾客满意测评通则</w:t>
      </w:r>
    </w:p>
    <w:p w14:paraId="62D923FA">
      <w:pPr>
        <w:pStyle w:val="56"/>
        <w:ind w:firstLine="420"/>
      </w:pPr>
      <w:r>
        <w:rPr>
          <w:rFonts w:hint="eastAsia"/>
        </w:rPr>
        <w:t>LD/T 03—2020  公共就业和人才服务窗口服务人员行为规范</w:t>
      </w:r>
    </w:p>
    <w:p w14:paraId="3D7E4147">
      <w:pPr>
        <w:pStyle w:val="56"/>
        <w:ind w:firstLine="420"/>
      </w:pPr>
      <w:r>
        <w:rPr>
          <w:rFonts w:hint="eastAsia"/>
        </w:rPr>
        <w:t>LD/T 2001—2023  公共创业服务规范</w:t>
      </w:r>
    </w:p>
    <w:p w14:paraId="58153EBF">
      <w:pPr>
        <w:pStyle w:val="104"/>
        <w:spacing w:before="312" w:after="312"/>
      </w:pPr>
      <w:bookmarkStart w:id="52" w:name="_Toc182380340"/>
      <w:bookmarkStart w:id="53" w:name="_Toc97191425"/>
      <w:bookmarkStart w:id="54" w:name="_Toc182405113"/>
      <w:bookmarkStart w:id="55" w:name="_Toc182468331"/>
      <w:bookmarkStart w:id="56" w:name="_Toc182467763"/>
      <w:r>
        <w:rPr>
          <w:rFonts w:hint="eastAsia"/>
          <w:szCs w:val="21"/>
        </w:rPr>
        <w:t>术语和定义</w:t>
      </w:r>
      <w:bookmarkEnd w:id="52"/>
      <w:bookmarkEnd w:id="53"/>
      <w:bookmarkEnd w:id="54"/>
      <w:bookmarkEnd w:id="55"/>
      <w:bookmarkEnd w:id="56"/>
    </w:p>
    <w:sdt>
      <w:sdtPr>
        <w:id w:val="-1909835108"/>
        <w:placeholder>
          <w:docPart w:val="9DE75FACAE454284BC5191CCF2EAD1D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214FC3B">
          <w:pPr>
            <w:pStyle w:val="56"/>
            <w:ind w:firstLine="420"/>
          </w:pPr>
          <w:bookmarkStart w:id="57" w:name="_Toc26986532"/>
          <w:bookmarkEnd w:id="57"/>
          <w:r>
            <w:rPr>
              <w:rFonts w:hint="eastAsia"/>
            </w:rPr>
            <w:t>LD/T 03—2020和LD/T 2001-202</w:t>
          </w:r>
          <w:r>
            <w:t>界定的以及下列术语和定义适用于本文件。</w:t>
          </w:r>
        </w:p>
      </w:sdtContent>
    </w:sdt>
    <w:p w14:paraId="3A1D2AEA">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职业指导  career guidance</w:t>
      </w:r>
    </w:p>
    <w:p w14:paraId="0C0437CA">
      <w:pPr>
        <w:pStyle w:val="56"/>
        <w:ind w:firstLine="420"/>
      </w:pPr>
      <w:r>
        <w:rPr>
          <w:rFonts w:hint="eastAsia"/>
        </w:rPr>
        <w:t>为个人提供的职业发展和职业选择方面的一系列专业咨询和支持服务，涵盖职业规划、职业选择、职业转换及职业发展等全方位指导，旨在助力劳动者求职、稳定就业及职业成长，这些服务旨在帮助个人更好地了解自己，探索职业机会，并制定实现职业目标的策略。</w:t>
      </w:r>
    </w:p>
    <w:p w14:paraId="748DB1A0">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职业指导服务人员  career adviser</w:t>
      </w:r>
    </w:p>
    <w:p w14:paraId="71475C49">
      <w:pPr>
        <w:pStyle w:val="56"/>
        <w:ind w:firstLine="420"/>
      </w:pPr>
      <w:r>
        <w:rPr>
          <w:rFonts w:hint="eastAsia"/>
        </w:rPr>
        <w:t>持有职业指导员职业资格证书或市级及以上人力资源和社会保障部门聘任的就业指导的专业人员，为劳动者求职、稳定就业和职业发展等以及用人单位招用人员和合理用人提供咨询、指导、测评等专业服务。</w:t>
      </w:r>
    </w:p>
    <w:p w14:paraId="642E40EF">
      <w:pPr>
        <w:pStyle w:val="104"/>
        <w:spacing w:before="312" w:after="312"/>
      </w:pPr>
      <w:bookmarkStart w:id="58" w:name="_Toc182380341"/>
      <w:bookmarkStart w:id="59" w:name="_Toc182405114"/>
      <w:bookmarkStart w:id="60" w:name="_Toc182468332"/>
      <w:bookmarkStart w:id="61" w:name="_Toc182467764"/>
      <w:r>
        <w:rPr>
          <w:rFonts w:hint="eastAsia"/>
        </w:rPr>
        <w:t>服务原则</w:t>
      </w:r>
      <w:bookmarkEnd w:id="58"/>
      <w:bookmarkEnd w:id="59"/>
      <w:bookmarkEnd w:id="60"/>
      <w:bookmarkEnd w:id="61"/>
    </w:p>
    <w:p w14:paraId="099AF4E5">
      <w:pPr>
        <w:pStyle w:val="105"/>
        <w:spacing w:before="156" w:after="156"/>
      </w:pPr>
      <w:r>
        <w:rPr>
          <w:rFonts w:hint="eastAsia"/>
        </w:rPr>
        <w:t>平等公正</w:t>
      </w:r>
    </w:p>
    <w:p w14:paraId="44B0BA33">
      <w:pPr>
        <w:pStyle w:val="165"/>
      </w:pPr>
      <w:r>
        <w:rPr>
          <w:rFonts w:hint="eastAsia"/>
        </w:rPr>
        <w:t>指导服务应遵循平等公正的原则，不因服务对象的性别、年龄、种族、宗教信仰、社会经济状况或任何其他个人特征而有所歧视。</w:t>
      </w:r>
    </w:p>
    <w:p w14:paraId="4AE40D12">
      <w:pPr>
        <w:pStyle w:val="165"/>
      </w:pPr>
      <w:r>
        <w:rPr>
          <w:rFonts w:hint="eastAsia"/>
        </w:rPr>
        <w:t>面向所有求职者，应提供平等、无差别的服务，避免任何形式的歧视和偏见，确保每位求职者都能获得平等的机会和待遇。</w:t>
      </w:r>
    </w:p>
    <w:p w14:paraId="29D63D83">
      <w:pPr>
        <w:pStyle w:val="165"/>
      </w:pPr>
      <w:r>
        <w:rPr>
          <w:rFonts w:hint="eastAsia"/>
        </w:rPr>
        <w:t>所有服务对象应享有同等的职业指导机会和服务质量，确保信息的透明与公正传递。</w:t>
      </w:r>
    </w:p>
    <w:p w14:paraId="4FC9F7BB">
      <w:pPr>
        <w:pStyle w:val="165"/>
      </w:pPr>
      <w:r>
        <w:rPr>
          <w:rFonts w:hint="eastAsia"/>
        </w:rPr>
        <w:t>服务过程中应尊重并理解不同的文化背景和就业观念，确保服务内容能够跨越文化和地域的界限。</w:t>
      </w:r>
    </w:p>
    <w:p w14:paraId="46657B68">
      <w:pPr>
        <w:pStyle w:val="105"/>
        <w:spacing w:before="156" w:after="156"/>
      </w:pPr>
      <w:r>
        <w:rPr>
          <w:rFonts w:hint="eastAsia"/>
        </w:rPr>
        <w:t>个性化服务</w:t>
      </w:r>
    </w:p>
    <w:p w14:paraId="2A1E82DD">
      <w:pPr>
        <w:pStyle w:val="165"/>
      </w:pPr>
      <w:r>
        <w:rPr>
          <w:rFonts w:hint="eastAsia"/>
        </w:rPr>
        <w:t>应根据每个服务对象的个性特点、能力优势、职业兴趣及发展目标，科学考量，综合分析，提供符合个人条件和需求的职业指导服务。</w:t>
      </w:r>
    </w:p>
    <w:p w14:paraId="53E9D584">
      <w:pPr>
        <w:pStyle w:val="165"/>
      </w:pPr>
      <w:r>
        <w:rPr>
          <w:rFonts w:hint="eastAsia"/>
        </w:rPr>
        <w:t>应尊重服务对象的个性化需求，通过一对一咨询、小组辅导、在线指导等多种方式，满足其不同的职业指导需求。</w:t>
      </w:r>
    </w:p>
    <w:p w14:paraId="0447ABAC">
      <w:pPr>
        <w:pStyle w:val="105"/>
        <w:spacing w:before="156" w:after="156"/>
      </w:pPr>
      <w:r>
        <w:rPr>
          <w:rFonts w:hint="eastAsia"/>
        </w:rPr>
        <w:t>保密和尊重</w:t>
      </w:r>
    </w:p>
    <w:p w14:paraId="1C2FC88C">
      <w:pPr>
        <w:pStyle w:val="165"/>
      </w:pPr>
      <w:r>
        <w:rPr>
          <w:rFonts w:hint="eastAsia"/>
        </w:rPr>
        <w:t>应严格遵守保密原则，未经服务对象同意，不得泄露其个人信息及咨询内容。</w:t>
      </w:r>
    </w:p>
    <w:p w14:paraId="17C86635">
      <w:pPr>
        <w:pStyle w:val="165"/>
      </w:pPr>
      <w:r>
        <w:rPr>
          <w:rFonts w:hint="eastAsia"/>
        </w:rPr>
        <w:t>应尊重服务对象的意愿和选择，不得有任何形式的强迫或诱导，确保职业指导过程的客观、安全、舒适与信任。</w:t>
      </w:r>
    </w:p>
    <w:p w14:paraId="4BB707C0">
      <w:pPr>
        <w:pStyle w:val="105"/>
        <w:spacing w:before="156" w:after="156"/>
      </w:pPr>
      <w:r>
        <w:rPr>
          <w:rFonts w:hint="eastAsia"/>
        </w:rPr>
        <w:t>全程指导</w:t>
      </w:r>
    </w:p>
    <w:p w14:paraId="52141E60">
      <w:pPr>
        <w:pStyle w:val="165"/>
      </w:pPr>
      <w:r>
        <w:rPr>
          <w:rFonts w:hint="eastAsia"/>
        </w:rPr>
        <w:t>应关注求职者的长期发展需求，提供持续的职业指导和支持。</w:t>
      </w:r>
    </w:p>
    <w:p w14:paraId="68DE1D04">
      <w:pPr>
        <w:pStyle w:val="165"/>
      </w:pPr>
      <w:r>
        <w:rPr>
          <w:rFonts w:hint="eastAsia"/>
        </w:rPr>
        <w:t>指导内容应覆盖从职业探索、职业规划、技能培训、就业推荐到职业适应的全过程。</w:t>
      </w:r>
    </w:p>
    <w:p w14:paraId="688079DD">
      <w:pPr>
        <w:pStyle w:val="165"/>
      </w:pPr>
      <w:r>
        <w:rPr>
          <w:rFonts w:hint="eastAsia"/>
        </w:rPr>
        <w:t>应定期评估服务对象的职业发展状况，根据需要调整指导方案，确保其职业生涯的持续科学发展。</w:t>
      </w:r>
    </w:p>
    <w:p w14:paraId="7AED6154">
      <w:pPr>
        <w:pStyle w:val="165"/>
      </w:pPr>
      <w:r>
        <w:rPr>
          <w:rFonts w:hint="eastAsia"/>
        </w:rPr>
        <w:t>应不间断跟踪市场需求和就业形势的变化，持续更新服务内容和方式，保持服务的合理性和有效性。</w:t>
      </w:r>
    </w:p>
    <w:p w14:paraId="6499B6F9">
      <w:pPr>
        <w:pStyle w:val="105"/>
        <w:spacing w:before="156" w:after="156"/>
      </w:pPr>
      <w:r>
        <w:rPr>
          <w:rFonts w:hint="eastAsia"/>
        </w:rPr>
        <w:t>专业性与合法性</w:t>
      </w:r>
    </w:p>
    <w:p w14:paraId="24013AC6">
      <w:pPr>
        <w:pStyle w:val="165"/>
      </w:pPr>
      <w:r>
        <w:rPr>
          <w:rFonts w:hint="eastAsia"/>
        </w:rPr>
        <w:t>职业指导应由具备相关专业资质和经验的指导人员提供，确保服务的专业性和有效性。</w:t>
      </w:r>
    </w:p>
    <w:p w14:paraId="5E3884E3">
      <w:pPr>
        <w:pStyle w:val="165"/>
      </w:pPr>
      <w:r>
        <w:rPr>
          <w:rFonts w:hint="eastAsia"/>
        </w:rPr>
        <w:t>职业指导应基于专业的职业规划和就业指导理论，为求职者提供个性化的咨询和建议。</w:t>
      </w:r>
    </w:p>
    <w:p w14:paraId="394ED2D4">
      <w:pPr>
        <w:pStyle w:val="165"/>
      </w:pPr>
      <w:r>
        <w:rPr>
          <w:rFonts w:hint="eastAsia"/>
        </w:rPr>
        <w:t>服务内容及方法应符合国家法律法规及地方相关政策要求，不得提供违法或误导性的职业指导信息。</w:t>
      </w:r>
    </w:p>
    <w:p w14:paraId="08AFF3CE">
      <w:pPr>
        <w:pStyle w:val="165"/>
      </w:pPr>
      <w:r>
        <w:rPr>
          <w:rFonts w:hint="eastAsia"/>
        </w:rPr>
        <w:t>针对两岸求职者的不同特点和需求，服务应提供针对性的职业评估、职业规划和就业指导，帮助他们更好地适应市场需求，实现职业发展。</w:t>
      </w:r>
    </w:p>
    <w:p w14:paraId="6CFE18B2">
      <w:pPr>
        <w:pStyle w:val="165"/>
      </w:pPr>
      <w:r>
        <w:rPr>
          <w:rFonts w:hint="eastAsia"/>
        </w:rPr>
        <w:t>职业指导服务应以提高服务对象的职业能力和就业质量为目标，定期评估服务效果。</w:t>
      </w:r>
    </w:p>
    <w:p w14:paraId="6B064CE3">
      <w:pPr>
        <w:pStyle w:val="165"/>
      </w:pPr>
      <w:r>
        <w:rPr>
          <w:rFonts w:hint="eastAsia"/>
        </w:rPr>
        <w:t>应根据服务对象的反馈和市场变化，不断优化服务内容和方法，提升服务的针对性和有效性。</w:t>
      </w:r>
    </w:p>
    <w:p w14:paraId="6BC093C7">
      <w:pPr>
        <w:pStyle w:val="165"/>
      </w:pPr>
      <w:r>
        <w:rPr>
          <w:rFonts w:hint="eastAsia"/>
        </w:rPr>
        <w:t>开展职业指导服务时，应依据国家相关的法律、法规，开展政策咨询和就业指导工作，如在各种咨询活动中出现违法违规现象时，责任由当事人承担，情节严重的要追究法律责任。</w:t>
      </w:r>
    </w:p>
    <w:p w14:paraId="641F3BF8">
      <w:pPr>
        <w:pStyle w:val="165"/>
      </w:pPr>
      <w:r>
        <w:rPr>
          <w:rFonts w:hint="eastAsia"/>
        </w:rPr>
        <w:t>开展职业指导服务时，应在指导、服务过程中为劳动者和用人单位提出建议参考，并根据服务对象的反馈和市场变化进行调整。</w:t>
      </w:r>
    </w:p>
    <w:p w14:paraId="518B2CB2">
      <w:pPr>
        <w:pStyle w:val="105"/>
        <w:spacing w:before="156" w:after="156"/>
      </w:pPr>
      <w:r>
        <w:rPr>
          <w:rFonts w:hint="eastAsia"/>
        </w:rPr>
        <w:t>职业资源整合与共享</w:t>
      </w:r>
    </w:p>
    <w:p w14:paraId="35FBEBCF">
      <w:pPr>
        <w:pStyle w:val="165"/>
      </w:pPr>
      <w:r>
        <w:rPr>
          <w:rFonts w:hint="eastAsia"/>
        </w:rPr>
        <w:t>应整合政府、企业、教育机构及社会各界的资源，为服务对象提供多元化的职业信息、培训和就业机会。</w:t>
      </w:r>
    </w:p>
    <w:p w14:paraId="1C9242D6">
      <w:pPr>
        <w:pStyle w:val="165"/>
      </w:pPr>
      <w:r>
        <w:rPr>
          <w:rFonts w:hint="eastAsia"/>
        </w:rPr>
        <w:t>应构建信息共享平台，促进职业指导资源的优化配置和高效利用，提升服务效率和质量。</w:t>
      </w:r>
    </w:p>
    <w:p w14:paraId="4327D44E">
      <w:pPr>
        <w:pStyle w:val="165"/>
      </w:pPr>
      <w:r>
        <w:rPr>
          <w:rFonts w:hint="eastAsia"/>
        </w:rPr>
        <w:t>应积极推动两岸职业教育和就业服务的交流与合作，共享职业指导和就业服务资源，共同提升两岸职业指导服务的质量和水平。</w:t>
      </w:r>
    </w:p>
    <w:p w14:paraId="5E1763BC">
      <w:pPr>
        <w:pStyle w:val="105"/>
        <w:spacing w:before="156" w:after="156"/>
      </w:pPr>
      <w:r>
        <w:rPr>
          <w:rFonts w:hint="eastAsia"/>
        </w:rPr>
        <w:t>职业资格采认与人才引进</w:t>
      </w:r>
    </w:p>
    <w:p w14:paraId="020A1C80">
      <w:pPr>
        <w:pStyle w:val="165"/>
      </w:pPr>
      <w:r>
        <w:rPr>
          <w:rFonts w:hint="eastAsia"/>
        </w:rPr>
        <w:t>应以国家职业分类为基础，建立地方职业资格采认目录，并实行动态调整。比对服务对象的职业资格、职业技能等级或匹配的职业能力。</w:t>
      </w:r>
    </w:p>
    <w:p w14:paraId="69FDA701">
      <w:pPr>
        <w:pStyle w:val="165"/>
      </w:pPr>
      <w:r>
        <w:rPr>
          <w:rFonts w:hint="eastAsia"/>
        </w:rPr>
        <w:t>为服务对象提供线上全程网办和线下“一站式”办理等多种职业资格采认方式。</w:t>
      </w:r>
    </w:p>
    <w:p w14:paraId="6BB25552">
      <w:pPr>
        <w:pStyle w:val="165"/>
      </w:pPr>
      <w:r>
        <w:rPr>
          <w:rFonts w:hint="eastAsia"/>
        </w:rPr>
        <w:t>对台湾地区职业资格采认范围、形式、流程和效力等作出具体规定，构建起全流程、规范化的直接采认工作机制。</w:t>
      </w:r>
    </w:p>
    <w:p w14:paraId="45F52E87">
      <w:pPr>
        <w:pStyle w:val="165"/>
      </w:pPr>
      <w:r>
        <w:rPr>
          <w:rFonts w:hAnsi="宋体" w:cs="宋体"/>
        </w:rPr>
        <w:t>深化厦台人才交流合作，</w:t>
      </w:r>
      <w:r>
        <w:rPr>
          <w:rFonts w:hint="eastAsia" w:hAnsi="宋体" w:cs="宋体"/>
        </w:rPr>
        <w:t>促进厦门</w:t>
      </w:r>
      <w:r>
        <w:rPr>
          <w:rFonts w:hAnsi="宋体" w:cs="宋体"/>
        </w:rPr>
        <w:t>市辖区范围内的企业和市（区）属事业单位（不含参公事业单位）引进集聚一批台湾高层次人才，</w:t>
      </w:r>
      <w:r>
        <w:rPr>
          <w:rFonts w:hint="eastAsia" w:hAnsi="宋体" w:cs="宋体"/>
        </w:rPr>
        <w:t>分为台湾特聘专家、台湾特聘专才两类</w:t>
      </w:r>
      <w:r>
        <w:rPr>
          <w:rFonts w:hAnsi="宋体" w:cs="宋体"/>
        </w:rPr>
        <w:t>。引进台湾特聘专</w:t>
      </w:r>
      <w:r>
        <w:rPr>
          <w:rFonts w:hint="eastAsia" w:hAnsi="宋体" w:cs="宋体"/>
        </w:rPr>
        <w:t>才</w:t>
      </w:r>
      <w:r>
        <w:rPr>
          <w:rFonts w:hAnsi="宋体" w:cs="宋体"/>
        </w:rPr>
        <w:t>类型的高层次人才</w:t>
      </w:r>
      <w:r>
        <w:rPr>
          <w:rFonts w:hint="eastAsia" w:hAnsi="宋体" w:cs="宋体"/>
        </w:rPr>
        <w:t>应符合</w:t>
      </w:r>
      <w:r>
        <w:rPr>
          <w:rFonts w:hAnsi="宋体" w:cs="宋体"/>
        </w:rPr>
        <w:t>遵纪守法，有良好的职业道德，</w:t>
      </w:r>
      <w:r>
        <w:rPr>
          <w:rFonts w:hint="eastAsia" w:hAnsi="宋体" w:cs="宋体"/>
        </w:rPr>
        <w:t>符合</w:t>
      </w:r>
      <w:r>
        <w:rPr>
          <w:rFonts w:hAnsi="宋体" w:cs="宋体"/>
        </w:rPr>
        <w:t>重点产业、重点项目、重点学科聘用的急需紧缺台湾专业人才</w:t>
      </w:r>
    </w:p>
    <w:p w14:paraId="1A97B91B">
      <w:pPr>
        <w:pStyle w:val="165"/>
      </w:pPr>
      <w:r>
        <w:rPr>
          <w:rFonts w:hint="eastAsia" w:hAnsi="宋体" w:cs="宋体"/>
        </w:rPr>
        <w:t>引进台湾特聘专家类型的高层次人才应符合遵纪守法，有良好的职业道德，在境内外知名企业、机构中，担任中、高层职务两年以上的专业技术人才或经营管理人才或在境内外高校、科研院所担任相当于副教授、副研究员及以上职务，学术技术水平达到国际先进水平的专家、学者或学科带头人或在大型科研或工程项目中起重要作用，有较丰富的技术管理经验的专家、学者、核心技术人员或拥有自主知识产权和发明专利，且其技术成果在同类别中优势明显或能填补行业空白，具有市场潜力并能进行产业化生产的科技创业人才或台湾高等院校重点学科、重点实验室、工程研究（技术）中心、工程实验室的主要专家或在两岸产业对接、重大项目合作等方面起主要作用、有重要影响的各类高层次人才。</w:t>
      </w:r>
    </w:p>
    <w:p w14:paraId="655C08F3">
      <w:pPr>
        <w:pStyle w:val="104"/>
        <w:spacing w:before="312" w:after="312"/>
      </w:pPr>
      <w:bookmarkStart w:id="62" w:name="_Toc182467765"/>
      <w:bookmarkStart w:id="63" w:name="_Toc182380342"/>
      <w:bookmarkStart w:id="64" w:name="_Toc182468333"/>
      <w:bookmarkStart w:id="65" w:name="_Toc182405115"/>
      <w:r>
        <w:rPr>
          <w:rFonts w:hint="eastAsia"/>
        </w:rPr>
        <w:t>服务基本要求</w:t>
      </w:r>
      <w:bookmarkEnd w:id="62"/>
      <w:bookmarkEnd w:id="63"/>
      <w:bookmarkEnd w:id="64"/>
      <w:bookmarkEnd w:id="65"/>
    </w:p>
    <w:p w14:paraId="44A37AFB">
      <w:pPr>
        <w:pStyle w:val="105"/>
        <w:spacing w:before="156" w:after="156"/>
      </w:pPr>
      <w:r>
        <w:rPr>
          <w:rFonts w:hint="eastAsia"/>
        </w:rPr>
        <w:t>场所和设施</w:t>
      </w:r>
    </w:p>
    <w:p w14:paraId="63EBA668">
      <w:pPr>
        <w:pStyle w:val="165"/>
      </w:pPr>
      <w:r>
        <w:rPr>
          <w:rFonts w:hint="eastAsia"/>
        </w:rPr>
        <w:t>应根据服务对象的需求和市、区公共就业服务机构规划，合理设置职业指导服务场所，建立职业指导工作室,确保场所的可达性和便利性，为求职者提供专业化的就业创业指导服务。</w:t>
      </w:r>
    </w:p>
    <w:p w14:paraId="718EE610">
      <w:pPr>
        <w:pStyle w:val="165"/>
      </w:pPr>
      <w:r>
        <w:rPr>
          <w:rFonts w:hint="eastAsia"/>
        </w:rPr>
        <w:t>应配备必要的服务设施和办公设备，包括但不限于咨询室、培训室、信息查询设备等，并根据服务需要配备专用设施设备。</w:t>
      </w:r>
    </w:p>
    <w:p w14:paraId="54466275">
      <w:pPr>
        <w:pStyle w:val="105"/>
        <w:spacing w:before="156" w:after="156"/>
      </w:pPr>
      <w:r>
        <w:rPr>
          <w:rFonts w:hint="eastAsia"/>
        </w:rPr>
        <w:t>人员</w:t>
      </w:r>
    </w:p>
    <w:p w14:paraId="67A40748">
      <w:pPr>
        <w:pStyle w:val="165"/>
      </w:pPr>
      <w:r>
        <w:rPr>
          <w:rFonts w:hint="eastAsia"/>
        </w:rPr>
        <w:t>服务人员应具备下列条件之一：</w:t>
      </w:r>
    </w:p>
    <w:p w14:paraId="36DD7EAD">
      <w:pPr>
        <w:pStyle w:val="132"/>
      </w:pPr>
      <w:r>
        <w:rPr>
          <w:rFonts w:hint="eastAsia"/>
        </w:rPr>
        <w:t>人力资源与社会保障相关部门认定的就业指导专家；</w:t>
      </w:r>
    </w:p>
    <w:p w14:paraId="6A517BC0">
      <w:pPr>
        <w:pStyle w:val="132"/>
      </w:pPr>
      <w:r>
        <w:rPr>
          <w:rFonts w:hint="eastAsia"/>
        </w:rPr>
        <w:t>各大中专院校、技工院校、人力资源服务机构、教育培训机构，各工会、妇联、残联等社会组织，各企事业单位及街道社区基层工作人员等从事和准备从事就业服务、职业介绍和职业指导、职业咨询的人员；</w:t>
      </w:r>
    </w:p>
    <w:p w14:paraId="5F030983">
      <w:pPr>
        <w:pStyle w:val="132"/>
      </w:pPr>
      <w:r>
        <w:rPr>
          <w:rFonts w:hint="eastAsia"/>
        </w:rPr>
        <w:t>各企事业单位部门业务骨干及管理人员，第三方服务机构等从事职业指导或咨询工作的其他人员。</w:t>
      </w:r>
    </w:p>
    <w:p w14:paraId="20A43DFA">
      <w:pPr>
        <w:pStyle w:val="165"/>
      </w:pPr>
      <w:r>
        <w:rPr>
          <w:rFonts w:hint="eastAsia"/>
        </w:rPr>
        <w:t>服务人员的数量应根据服务对象、服务内容、服务范围的需求配置。</w:t>
      </w:r>
    </w:p>
    <w:p w14:paraId="57EA66C7">
      <w:pPr>
        <w:pStyle w:val="165"/>
      </w:pPr>
      <w:r>
        <w:rPr>
          <w:rFonts w:hint="eastAsia"/>
        </w:rPr>
        <w:t>服务人员应具备职业指导岗位要求的专业知识和服务技能，从事职业评估、职业规划、职业培训等专业岗位的人员还应具备相应的资质和能力。</w:t>
      </w:r>
    </w:p>
    <w:p w14:paraId="5675BAA8">
      <w:pPr>
        <w:pStyle w:val="165"/>
      </w:pPr>
      <w:r>
        <w:rPr>
          <w:rFonts w:hint="eastAsia"/>
        </w:rPr>
        <w:t>服务人员应定期接受业务培训，不断提升自身的专业水平，以适应职业指导服务的发展。</w:t>
      </w:r>
    </w:p>
    <w:p w14:paraId="7D869B1D">
      <w:pPr>
        <w:pStyle w:val="165"/>
      </w:pPr>
      <w:r>
        <w:rPr>
          <w:rFonts w:hint="eastAsia"/>
        </w:rPr>
        <w:t>服务人员应积极参与职业指导、创业指导、心理咨询师等相关人员职业技能等级认定，加入不同层级、不同类别就业创业指导专家团队。</w:t>
      </w:r>
    </w:p>
    <w:p w14:paraId="2FF9B0CE">
      <w:pPr>
        <w:pStyle w:val="105"/>
        <w:spacing w:before="156" w:after="156"/>
      </w:pPr>
      <w:r>
        <w:rPr>
          <w:rFonts w:hint="eastAsia"/>
        </w:rPr>
        <w:t>服务宗旨</w:t>
      </w:r>
    </w:p>
    <w:p w14:paraId="19009FB0">
      <w:pPr>
        <w:pStyle w:val="165"/>
      </w:pPr>
      <w:r>
        <w:rPr>
          <w:rFonts w:hint="eastAsia"/>
        </w:rPr>
        <w:t>服务应以提升个人职业发展能力、促进就业为目标，遵循公平、公正、公开的原则。</w:t>
      </w:r>
    </w:p>
    <w:p w14:paraId="0939254F">
      <w:pPr>
        <w:pStyle w:val="165"/>
      </w:pPr>
      <w:r>
        <w:rPr>
          <w:rFonts w:hint="eastAsia"/>
        </w:rPr>
        <w:t>服务应促进两岸职业人才的交流与互通，为两岸求职者提供平等的职业指导和就业机会。</w:t>
      </w:r>
    </w:p>
    <w:p w14:paraId="59AC6171">
      <w:pPr>
        <w:pStyle w:val="105"/>
        <w:spacing w:before="156" w:after="156"/>
      </w:pPr>
      <w:r>
        <w:rPr>
          <w:rFonts w:hint="eastAsia"/>
        </w:rPr>
        <w:t>服务范围和内容</w:t>
      </w:r>
    </w:p>
    <w:p w14:paraId="1910621F">
      <w:pPr>
        <w:pStyle w:val="165"/>
      </w:pPr>
      <w:r>
        <w:rPr>
          <w:rFonts w:hint="eastAsia"/>
        </w:rPr>
        <w:t>服务应涵盖职业咨询、职业规划、职业培训、就业指导等多个方面。</w:t>
      </w:r>
    </w:p>
    <w:p w14:paraId="2490F330">
      <w:pPr>
        <w:pStyle w:val="165"/>
      </w:pPr>
      <w:r>
        <w:rPr>
          <w:rFonts w:hint="eastAsia"/>
        </w:rPr>
        <w:t>针对两岸共通职业领域，如信息技术、金融服务、文化创意等，应提供专门的职业指导服务。</w:t>
      </w:r>
    </w:p>
    <w:p w14:paraId="4C73B848">
      <w:pPr>
        <w:pStyle w:val="165"/>
      </w:pPr>
      <w:r>
        <w:rPr>
          <w:rFonts w:hint="eastAsia"/>
        </w:rPr>
        <w:t>应推动两岸职业资格的互认与转换，为两岸求职者提供便利。</w:t>
      </w:r>
    </w:p>
    <w:p w14:paraId="3815BB5D">
      <w:pPr>
        <w:pStyle w:val="105"/>
        <w:spacing w:before="156" w:after="156"/>
      </w:pPr>
      <w:r>
        <w:rPr>
          <w:rFonts w:hint="eastAsia"/>
        </w:rPr>
        <w:t>管理制度</w:t>
      </w:r>
    </w:p>
    <w:p w14:paraId="5DAD05F4">
      <w:pPr>
        <w:pStyle w:val="165"/>
      </w:pPr>
      <w:r>
        <w:rPr>
          <w:rFonts w:hint="eastAsia"/>
        </w:rPr>
        <w:t>应建立与职业指导服务内容相对应的管理制度，并根据服务实践适时调整完善，确保制度的适用性和有效性。</w:t>
      </w:r>
    </w:p>
    <w:p w14:paraId="6D03725E">
      <w:pPr>
        <w:pStyle w:val="165"/>
      </w:pPr>
      <w:r>
        <w:rPr>
          <w:rFonts w:hint="eastAsia"/>
        </w:rPr>
        <w:t>应保存运行管理、服务的记录，包括人员信息、考核结果、资金使用、投诉处理等记录，保证记录的可追溯性。</w:t>
      </w:r>
    </w:p>
    <w:p w14:paraId="79C4AB5B">
      <w:pPr>
        <w:pStyle w:val="105"/>
        <w:spacing w:before="156" w:after="156"/>
      </w:pPr>
      <w:r>
        <w:rPr>
          <w:rFonts w:hint="eastAsia"/>
        </w:rPr>
        <w:t>信息化支持</w:t>
      </w:r>
    </w:p>
    <w:p w14:paraId="156E7267">
      <w:pPr>
        <w:pStyle w:val="165"/>
      </w:pPr>
      <w:r>
        <w:rPr>
          <w:rFonts w:hint="eastAsia"/>
        </w:rPr>
        <w:t>应根据职业指导服务的需要，配置信息服务设备和系统，提供远程和线上服务。</w:t>
      </w:r>
    </w:p>
    <w:p w14:paraId="492785B3">
      <w:pPr>
        <w:pStyle w:val="165"/>
      </w:pPr>
      <w:r>
        <w:rPr>
          <w:rFonts w:hint="eastAsia"/>
        </w:rPr>
        <w:t>应遵循合法、正当、必要的原则，保障职业指导服务过程中收集、产生的数据信息安全。</w:t>
      </w:r>
    </w:p>
    <w:p w14:paraId="58BC15AA">
      <w:pPr>
        <w:pStyle w:val="165"/>
      </w:pPr>
      <w:r>
        <w:rPr>
          <w:rFonts w:hint="eastAsia"/>
        </w:rPr>
        <w:t>应维护服务对象合法权益，不得泄露或违法使用所知悉的商业秘密和个人信息，遵守保密约定。</w:t>
      </w:r>
    </w:p>
    <w:p w14:paraId="06C71576">
      <w:pPr>
        <w:pStyle w:val="104"/>
        <w:spacing w:before="312" w:after="312"/>
      </w:pPr>
      <w:bookmarkStart w:id="66" w:name="_Toc182380343"/>
      <w:bookmarkStart w:id="67" w:name="_Toc182467766"/>
      <w:bookmarkStart w:id="68" w:name="_Toc182468334"/>
      <w:bookmarkStart w:id="69" w:name="_Toc182405116"/>
      <w:r>
        <w:rPr>
          <w:rFonts w:hint="eastAsia"/>
        </w:rPr>
        <w:t>服务方式</w:t>
      </w:r>
      <w:bookmarkEnd w:id="66"/>
      <w:bookmarkEnd w:id="67"/>
      <w:bookmarkEnd w:id="68"/>
      <w:bookmarkEnd w:id="69"/>
    </w:p>
    <w:p w14:paraId="505AC852">
      <w:pPr>
        <w:pStyle w:val="105"/>
        <w:spacing w:before="156" w:after="156"/>
      </w:pPr>
      <w:r>
        <w:rPr>
          <w:rFonts w:hint="eastAsia"/>
        </w:rPr>
        <w:t>面对面咨询</w:t>
      </w:r>
    </w:p>
    <w:p w14:paraId="0986F777">
      <w:pPr>
        <w:pStyle w:val="165"/>
      </w:pPr>
      <w:r>
        <w:rPr>
          <w:rFonts w:hint="eastAsia"/>
        </w:rPr>
        <w:t>应提供专业的职业指导人员进行一对一的咨询服务，全面了解服务对象的职业需求和个人情况。</w:t>
      </w:r>
    </w:p>
    <w:p w14:paraId="2435A776">
      <w:pPr>
        <w:pStyle w:val="165"/>
      </w:pPr>
      <w:r>
        <w:rPr>
          <w:rFonts w:hint="eastAsia"/>
        </w:rPr>
        <w:t>应根据服务对象的特点和需求，充分了解求职者的个人情况、职业兴趣、技能水平等，为其提供量身定制的职业指导服务。</w:t>
      </w:r>
    </w:p>
    <w:p w14:paraId="54B913DA">
      <w:pPr>
        <w:pStyle w:val="105"/>
        <w:spacing w:before="156" w:after="156"/>
      </w:pPr>
      <w:r>
        <w:rPr>
          <w:rFonts w:hint="eastAsia"/>
        </w:rPr>
        <w:t>线上服务</w:t>
      </w:r>
    </w:p>
    <w:p w14:paraId="291B3456">
      <w:pPr>
        <w:pStyle w:val="165"/>
      </w:pPr>
      <w:r>
        <w:rPr>
          <w:rFonts w:hint="eastAsia"/>
        </w:rPr>
        <w:t>应通过互联网技术提供在线咨询和远程指导服务，方便服务对象随时随地获取职业指导服务。</w:t>
      </w:r>
    </w:p>
    <w:p w14:paraId="13B37D6B">
      <w:pPr>
        <w:pStyle w:val="165"/>
      </w:pPr>
      <w:r>
        <w:rPr>
          <w:rFonts w:hint="eastAsia"/>
        </w:rPr>
        <w:t>应通过在线平台发布职业指导相关的资讯、教程和自助工具，供服务对象自主学习和使用。</w:t>
      </w:r>
    </w:p>
    <w:p w14:paraId="3D9FC699">
      <w:pPr>
        <w:pStyle w:val="165"/>
      </w:pPr>
      <w:r>
        <w:rPr>
          <w:rFonts w:hint="eastAsia"/>
        </w:rPr>
        <w:t>线上服务宜包括职业测评、在线咨询、职业规划课程、远程培训等。</w:t>
      </w:r>
    </w:p>
    <w:p w14:paraId="6BEDAC94">
      <w:pPr>
        <w:pStyle w:val="105"/>
        <w:spacing w:before="156" w:after="156"/>
      </w:pPr>
      <w:r>
        <w:rPr>
          <w:rFonts w:hint="eastAsia"/>
        </w:rPr>
        <w:t>电话咨询</w:t>
      </w:r>
    </w:p>
    <w:p w14:paraId="6FEFBCCB">
      <w:pPr>
        <w:pStyle w:val="165"/>
      </w:pPr>
      <w:r>
        <w:rPr>
          <w:rFonts w:hint="eastAsia"/>
        </w:rPr>
        <w:t>应设立专门的职业咨询热线，为求职者提供服务。</w:t>
      </w:r>
    </w:p>
    <w:p w14:paraId="619A589F">
      <w:pPr>
        <w:pStyle w:val="165"/>
      </w:pPr>
      <w:r>
        <w:rPr>
          <w:rFonts w:hint="eastAsia"/>
        </w:rPr>
        <w:t>应快速响应求职者的需求，提供简洁明了的职业指导和建议。</w:t>
      </w:r>
    </w:p>
    <w:p w14:paraId="499635B1">
      <w:pPr>
        <w:pStyle w:val="105"/>
        <w:spacing w:before="156" w:after="156"/>
      </w:pPr>
      <w:r>
        <w:rPr>
          <w:rFonts w:hint="eastAsia"/>
        </w:rPr>
        <w:t>招聘现场指导</w:t>
      </w:r>
    </w:p>
    <w:p w14:paraId="28D83690">
      <w:pPr>
        <w:pStyle w:val="165"/>
      </w:pPr>
      <w:r>
        <w:rPr>
          <w:rFonts w:hint="eastAsia"/>
        </w:rPr>
        <w:t>应在招聘会、人才市场等现场设立职业指导摊位，为求职者提供现场指导和咨询服务。</w:t>
      </w:r>
    </w:p>
    <w:p w14:paraId="3133ED6C">
      <w:pPr>
        <w:pStyle w:val="165"/>
      </w:pPr>
      <w:r>
        <w:rPr>
          <w:rFonts w:hint="eastAsia"/>
        </w:rPr>
        <w:t>应重点关注求职者的简历制作、面试技巧、职业定位等方面，帮助其更好地适应市场需求。</w:t>
      </w:r>
    </w:p>
    <w:p w14:paraId="0B86D9A6">
      <w:pPr>
        <w:pStyle w:val="105"/>
        <w:spacing w:before="156" w:after="156"/>
      </w:pPr>
      <w:r>
        <w:rPr>
          <w:rFonts w:hint="eastAsia"/>
        </w:rPr>
        <w:t>社区走访</w:t>
      </w:r>
    </w:p>
    <w:p w14:paraId="0FC1E5F5">
      <w:pPr>
        <w:pStyle w:val="165"/>
      </w:pPr>
      <w:r>
        <w:rPr>
          <w:rFonts w:hint="eastAsia"/>
        </w:rPr>
        <w:t>应定期组织专业人员深入社区、企业进行入户走访，了解劳动者的就业状况、职业需求及个人发展需求。</w:t>
      </w:r>
    </w:p>
    <w:p w14:paraId="1C9FAF7D">
      <w:pPr>
        <w:pStyle w:val="165"/>
      </w:pPr>
      <w:r>
        <w:rPr>
          <w:rFonts w:hint="eastAsia"/>
        </w:rPr>
        <w:t>入户走访时应尊重个人隐私，确保信息收集的安全性与合法性，建立详细的走访记录档案，为后续服务提供基础数据支持。</w:t>
      </w:r>
    </w:p>
    <w:p w14:paraId="76827AFC">
      <w:pPr>
        <w:pStyle w:val="165"/>
      </w:pPr>
      <w:r>
        <w:rPr>
          <w:rFonts w:hint="eastAsia"/>
        </w:rPr>
        <w:t>应通过走访，识别服务对象面临的具体职业问题，如就业困难、职业发展瓶颈等，为制定个性化的职业指导方案提供依据。</w:t>
      </w:r>
    </w:p>
    <w:p w14:paraId="4048B227">
      <w:pPr>
        <w:pStyle w:val="105"/>
        <w:spacing w:before="156" w:after="156"/>
      </w:pPr>
      <w:r>
        <w:rPr>
          <w:rFonts w:hint="eastAsia"/>
        </w:rPr>
        <w:t>合作与联动</w:t>
      </w:r>
    </w:p>
    <w:p w14:paraId="7C7D2432">
      <w:pPr>
        <w:pStyle w:val="165"/>
      </w:pPr>
      <w:r>
        <w:rPr>
          <w:rFonts w:hint="eastAsia"/>
        </w:rPr>
        <w:t>应与企业、高校、职业培训机构等建立合作关系，共同开展职业指导服务。</w:t>
      </w:r>
    </w:p>
    <w:p w14:paraId="53C05792">
      <w:pPr>
        <w:pStyle w:val="165"/>
      </w:pPr>
      <w:r>
        <w:rPr>
          <w:rFonts w:hint="eastAsia"/>
        </w:rPr>
        <w:t>应通过合作与联动，实现资源共享、优势互补，提升职业指导服务的整体质量和效果。</w:t>
      </w:r>
    </w:p>
    <w:p w14:paraId="57CF873D">
      <w:pPr>
        <w:pStyle w:val="165"/>
      </w:pPr>
      <w:r>
        <w:rPr>
          <w:rFonts w:hint="eastAsia"/>
        </w:rPr>
        <w:t>应促进两岸职业互通，开展职业交流项目，如两岸职业论坛、实习交流、就业推荐会等。</w:t>
      </w:r>
    </w:p>
    <w:p w14:paraId="1AA69A0C">
      <w:pPr>
        <w:pStyle w:val="165"/>
      </w:pPr>
      <w:r>
        <w:rPr>
          <w:rFonts w:hint="eastAsia" w:hAnsi="宋体" w:cs="宋体"/>
        </w:rPr>
        <w:t>应</w:t>
      </w:r>
      <w:r>
        <w:rPr>
          <w:rFonts w:hAnsi="宋体" w:cs="宋体"/>
        </w:rPr>
        <w:t>定期举办职业发展相关的工作坊和研讨会，为服务对象提供集体学习和交流的机会。邀请行业专家</w:t>
      </w:r>
      <w:r>
        <w:rPr>
          <w:rFonts w:hint="eastAsia" w:hAnsi="宋体" w:cs="宋体"/>
        </w:rPr>
        <w:t>、两岸职业专家、两岸企业代表</w:t>
      </w:r>
      <w:r>
        <w:rPr>
          <w:rFonts w:hAnsi="宋体" w:cs="宋体"/>
        </w:rPr>
        <w:t>和成功人士分享经验，提升服务对象的职业认知和技能。</w:t>
      </w:r>
    </w:p>
    <w:p w14:paraId="0329E19F">
      <w:pPr>
        <w:pStyle w:val="105"/>
        <w:spacing w:before="156" w:after="156"/>
      </w:pPr>
      <w:r>
        <w:rPr>
          <w:rFonts w:hint="eastAsia"/>
        </w:rPr>
        <w:t>简历制作及面试技巧指导</w:t>
      </w:r>
    </w:p>
    <w:p w14:paraId="7BA1BCA2">
      <w:pPr>
        <w:pStyle w:val="165"/>
      </w:pPr>
      <w:r>
        <w:rPr>
          <w:rFonts w:hint="eastAsia"/>
        </w:rPr>
        <w:t>应</w:t>
      </w:r>
      <w:r>
        <w:t>提供一对一或小组形式的简历撰写培训，教授如何有效展示个人技能、工作经验和教育背景。强调简历的针对性，根据不同岗位需求调整简历内容，提高简历的吸引力和匹配度。教授使用关键词优化技巧，提升简历在电子筛选系统中的通过率。</w:t>
      </w:r>
    </w:p>
    <w:p w14:paraId="50139120">
      <w:pPr>
        <w:pStyle w:val="165"/>
      </w:pPr>
      <w:r>
        <w:rPr>
          <w:rFonts w:hint="eastAsia"/>
        </w:rPr>
        <w:t>应</w:t>
      </w:r>
      <w:r>
        <w:t>组织模拟面试，训练应聘者的自我介绍、回答问题的方法、以及其他面试礼仪。分析常见面试问题及应对策略，包括行为面试、情景模拟等不同类型的面试准备。提供心理调适建议，帮助应聘者缓解面试前的紧张情绪，增强自信心。</w:t>
      </w:r>
    </w:p>
    <w:p w14:paraId="558DB440">
      <w:pPr>
        <w:pStyle w:val="105"/>
        <w:spacing w:before="156" w:after="156"/>
      </w:pPr>
      <w:r>
        <w:rPr>
          <w:rFonts w:hint="eastAsia"/>
        </w:rPr>
        <w:t>职业评估</w:t>
      </w:r>
    </w:p>
    <w:p w14:paraId="1DBE2230">
      <w:pPr>
        <w:pStyle w:val="165"/>
      </w:pPr>
      <w:r>
        <w:rPr>
          <w:rFonts w:hint="eastAsia"/>
        </w:rPr>
        <w:t>应</w:t>
      </w:r>
      <w:r>
        <w:t>运用科学的职业评估工具和心理测试，帮助服务对象了解自己的职业倾向和能力。根据评估结果，为服务对象提供针对性的职业发展建议。</w:t>
      </w:r>
    </w:p>
    <w:p w14:paraId="5E48DDAA">
      <w:pPr>
        <w:pStyle w:val="165"/>
      </w:pPr>
      <w:r>
        <w:rPr>
          <w:rFonts w:hint="eastAsia" w:hAnsi="宋体" w:cs="宋体"/>
        </w:rPr>
        <w:t>应</w:t>
      </w:r>
      <w:r>
        <w:rPr>
          <w:rFonts w:hAnsi="宋体" w:cs="宋体"/>
        </w:rPr>
        <w:t>采用评估工具（如兴趣测试、性格测试、职业能力倾向测试）帮助个人明确职业兴趣、优势与劣势，帮助</w:t>
      </w:r>
      <w:r>
        <w:rPr>
          <w:rFonts w:hint="eastAsia" w:hAnsi="宋体" w:cs="宋体"/>
        </w:rPr>
        <w:t>服务对象</w:t>
      </w:r>
      <w:r>
        <w:rPr>
          <w:rFonts w:hAnsi="宋体" w:cs="宋体"/>
        </w:rPr>
        <w:t>了解自身职业兴趣</w:t>
      </w:r>
      <w:r>
        <w:rPr>
          <w:rFonts w:hint="eastAsia" w:hAnsi="宋体" w:cs="宋体"/>
        </w:rPr>
        <w:t>和</w:t>
      </w:r>
      <w:r>
        <w:rPr>
          <w:rFonts w:hAnsi="宋体" w:cs="宋体"/>
        </w:rPr>
        <w:t>能力。</w:t>
      </w:r>
    </w:p>
    <w:p w14:paraId="5EAC09BF">
      <w:pPr>
        <w:pStyle w:val="165"/>
      </w:pPr>
      <w:r>
        <w:rPr>
          <w:rFonts w:hint="eastAsia"/>
        </w:rPr>
        <w:t>应</w:t>
      </w:r>
      <w:r>
        <w:t>与教育机构合作，为服务对象提供继续教育和职业资格认证的机会。</w:t>
      </w:r>
    </w:p>
    <w:p w14:paraId="578B359D">
      <w:pPr>
        <w:pStyle w:val="165"/>
      </w:pPr>
      <w:r>
        <w:rPr>
          <w:rFonts w:hint="eastAsia"/>
        </w:rPr>
        <w:t>应对比海峡两岸职业评估方式，帮助服务对象进行求职所在地的科学评估。</w:t>
      </w:r>
    </w:p>
    <w:p w14:paraId="74F2C716">
      <w:pPr>
        <w:pStyle w:val="105"/>
        <w:spacing w:before="156" w:after="156"/>
      </w:pPr>
      <w:r>
        <w:rPr>
          <w:rFonts w:hint="eastAsia"/>
        </w:rPr>
        <w:t>职业能力提升培训</w:t>
      </w:r>
    </w:p>
    <w:p w14:paraId="08B7670E">
      <w:pPr>
        <w:pStyle w:val="165"/>
      </w:pPr>
      <w:r>
        <w:rPr>
          <w:rFonts w:hint="eastAsia"/>
        </w:rPr>
        <w:t>应根据服务对象需求和评估结果，</w:t>
      </w:r>
      <w:r>
        <w:t>提供或推荐与职业发展相关的培训课程和教育项目，帮助服务对象提升职业技能</w:t>
      </w:r>
      <w:r>
        <w:rPr>
          <w:rFonts w:hint="eastAsia"/>
        </w:rPr>
        <w:t>，</w:t>
      </w:r>
      <w:r>
        <w:rPr>
          <w:rFonts w:hint="eastAsia" w:hAnsi="宋体" w:cs="宋体"/>
        </w:rPr>
        <w:t>并</w:t>
      </w:r>
      <w:r>
        <w:rPr>
          <w:rFonts w:hAnsi="宋体" w:cs="宋体"/>
        </w:rPr>
        <w:t>结合市场趋势，制定长期和短期的个人职业发展规划</w:t>
      </w:r>
      <w:r>
        <w:rPr>
          <w:rFonts w:hint="eastAsia" w:hAnsi="宋体" w:cs="宋体"/>
        </w:rPr>
        <w:t>。</w:t>
      </w:r>
    </w:p>
    <w:p w14:paraId="3C865803">
      <w:pPr>
        <w:pStyle w:val="165"/>
      </w:pPr>
      <w:r>
        <w:rPr>
          <w:rFonts w:hint="eastAsia"/>
        </w:rPr>
        <w:t>应</w:t>
      </w:r>
      <w:r>
        <w:rPr>
          <w:rFonts w:hAnsi="宋体" w:cs="宋体"/>
        </w:rPr>
        <w:t>组织实操训练，提升专业技能水平，包括但不限于计算机技术、语言技能、管理能力等。</w:t>
      </w:r>
    </w:p>
    <w:p w14:paraId="54EFDC9B">
      <w:pPr>
        <w:pStyle w:val="165"/>
      </w:pPr>
      <w:r>
        <w:rPr>
          <w:rFonts w:hint="eastAsia"/>
        </w:rPr>
        <w:t>应</w:t>
      </w:r>
      <w:r>
        <w:rPr>
          <w:rFonts w:hAnsi="宋体" w:cs="宋体"/>
        </w:rPr>
        <w:t>鼓励并支持参加职业技能鉴定，获取相应资格证书，增强就业竞争力</w:t>
      </w:r>
      <w:r>
        <w:rPr>
          <w:rFonts w:hint="eastAsia" w:hAnsi="宋体" w:cs="宋体"/>
        </w:rPr>
        <w:t>。</w:t>
      </w:r>
    </w:p>
    <w:p w14:paraId="3B40FC9D">
      <w:pPr>
        <w:pStyle w:val="165"/>
      </w:pPr>
      <w:r>
        <w:rPr>
          <w:rFonts w:hint="eastAsia"/>
        </w:rPr>
        <w:t>应</w:t>
      </w:r>
      <w:r>
        <w:rPr>
          <w:rFonts w:hint="eastAsia" w:hAnsi="宋体" w:cs="宋体"/>
        </w:rPr>
        <w:t>对比海峡两岸职业市场情况，对具有两岸来往职业需求的服务对象进行两岸职业互通专项能力培训。</w:t>
      </w:r>
    </w:p>
    <w:p w14:paraId="70DE27F9">
      <w:pPr>
        <w:pStyle w:val="165"/>
      </w:pPr>
      <w:r>
        <w:rPr>
          <w:rFonts w:hint="eastAsia"/>
        </w:rPr>
        <w:t>应组织两岸职业培训项目，促进两岸人才的技能提升和资格互认。</w:t>
      </w:r>
    </w:p>
    <w:p w14:paraId="6CCA9B4D">
      <w:pPr>
        <w:pStyle w:val="105"/>
        <w:spacing w:before="156" w:after="156"/>
      </w:pPr>
      <w:r>
        <w:rPr>
          <w:rFonts w:hint="eastAsia"/>
        </w:rPr>
        <w:t>职业心理咨询</w:t>
      </w:r>
    </w:p>
    <w:p w14:paraId="0A3FA15F">
      <w:pPr>
        <w:pStyle w:val="165"/>
      </w:pPr>
      <w:r>
        <w:rPr>
          <w:rFonts w:hint="eastAsia"/>
        </w:rPr>
        <w:t>应提供职业心理评估，识别并解决职业选择、职场适应、工作压力等方面的心理问题。</w:t>
      </w:r>
    </w:p>
    <w:p w14:paraId="461E699E">
      <w:pPr>
        <w:pStyle w:val="165"/>
      </w:pPr>
      <w:r>
        <w:rPr>
          <w:rFonts w:hint="eastAsia"/>
        </w:rPr>
        <w:t>应开展个体或团体职业心理咨询，运用专业心理咨询技术，帮助服务对象建立积极的职业心态。</w:t>
      </w:r>
    </w:p>
    <w:p w14:paraId="19B53DE3">
      <w:pPr>
        <w:pStyle w:val="165"/>
      </w:pPr>
      <w:r>
        <w:rPr>
          <w:rFonts w:hint="eastAsia"/>
        </w:rPr>
        <w:t>应教授应对职场挫折和压力的方法，提升心理韧性，促进职业心理健康。</w:t>
      </w:r>
    </w:p>
    <w:p w14:paraId="51FCF153">
      <w:pPr>
        <w:pStyle w:val="105"/>
        <w:spacing w:before="156" w:after="156"/>
      </w:pPr>
      <w:r>
        <w:rPr>
          <w:rFonts w:hint="eastAsia"/>
        </w:rPr>
        <w:t>特定职业指导</w:t>
      </w:r>
    </w:p>
    <w:p w14:paraId="3188261D">
      <w:pPr>
        <w:pStyle w:val="165"/>
      </w:pPr>
      <w:r>
        <w:rPr>
          <w:rFonts w:hint="eastAsia"/>
        </w:rPr>
        <w:t>应针对特定行业（如信息技术、健康医疗、金融服务等），提供行业特点、发展趋势、职业路径等深度解析。</w:t>
      </w:r>
    </w:p>
    <w:p w14:paraId="4F2AEED7">
      <w:pPr>
        <w:pStyle w:val="165"/>
      </w:pPr>
      <w:r>
        <w:rPr>
          <w:rFonts w:hint="eastAsia"/>
        </w:rPr>
        <w:t>应邀请行业专家进行专题讲座，分享行业内部信息，提升求职者的行业认知和专业素养。</w:t>
      </w:r>
    </w:p>
    <w:p w14:paraId="3D1992CF">
      <w:pPr>
        <w:pStyle w:val="165"/>
      </w:pPr>
      <w:r>
        <w:rPr>
          <w:rFonts w:hint="eastAsia"/>
        </w:rPr>
        <w:t>应提供该行业特有的求职策略和职业发展建议。</w:t>
      </w:r>
    </w:p>
    <w:p w14:paraId="23415CB3">
      <w:pPr>
        <w:pStyle w:val="165"/>
      </w:pPr>
      <w:r>
        <w:rPr>
          <w:rFonts w:hint="eastAsia"/>
        </w:rPr>
        <w:t>应提供就业匹配服务，将个人职业能力和市场需求进行有效对接。</w:t>
      </w:r>
    </w:p>
    <w:p w14:paraId="694F8C0A">
      <w:pPr>
        <w:pStyle w:val="165"/>
      </w:pPr>
      <w:r>
        <w:rPr>
          <w:rFonts w:hint="eastAsia"/>
        </w:rPr>
        <w:t>应收集两岸职业信息，促进两岸重点产业的职业互通和人才交流。</w:t>
      </w:r>
    </w:p>
    <w:p w14:paraId="21C6D550">
      <w:pPr>
        <w:pStyle w:val="105"/>
        <w:spacing w:before="156" w:after="156"/>
      </w:pPr>
      <w:r>
        <w:rPr>
          <w:rFonts w:hint="eastAsia"/>
        </w:rPr>
        <w:t>跟踪与反馈</w:t>
      </w:r>
    </w:p>
    <w:p w14:paraId="2549300A">
      <w:pPr>
        <w:pStyle w:val="165"/>
      </w:pPr>
      <w:r>
        <w:rPr>
          <w:rFonts w:hint="eastAsia"/>
        </w:rPr>
        <w:t>对接受职业指导服务的对象应定期跟踪，了解其职业发展状况，提供持续支持。</w:t>
      </w:r>
    </w:p>
    <w:p w14:paraId="3D5DDBEE">
      <w:pPr>
        <w:pStyle w:val="165"/>
      </w:pPr>
      <w:r>
        <w:rPr>
          <w:rFonts w:hint="eastAsia"/>
        </w:rPr>
        <w:t>应收集服务对象的反馈，不断优化和调整服务内容，提高服务质量。</w:t>
      </w:r>
    </w:p>
    <w:p w14:paraId="669F3378">
      <w:pPr>
        <w:pStyle w:val="165"/>
      </w:pPr>
      <w:r>
        <w:rPr>
          <w:rFonts w:hint="eastAsia"/>
        </w:rPr>
        <w:t>应</w:t>
      </w:r>
      <w:r>
        <w:rPr>
          <w:rFonts w:hAnsi="宋体" w:cs="宋体"/>
        </w:rPr>
        <w:t>定期跟踪</w:t>
      </w:r>
      <w:r>
        <w:rPr>
          <w:rFonts w:hint="eastAsia" w:hAnsi="宋体" w:cs="宋体"/>
        </w:rPr>
        <w:t>服务对象的现状、</w:t>
      </w:r>
      <w:r>
        <w:rPr>
          <w:rFonts w:hAnsi="宋体" w:cs="宋体"/>
        </w:rPr>
        <w:t>职业规划执行情况，适时调整规划，确保职业发展路径的适应性和可行性。</w:t>
      </w:r>
    </w:p>
    <w:p w14:paraId="54FB2FCC">
      <w:pPr>
        <w:pStyle w:val="104"/>
        <w:spacing w:before="312" w:after="312"/>
      </w:pPr>
      <w:bookmarkStart w:id="70" w:name="_Toc182405117"/>
      <w:bookmarkStart w:id="71" w:name="_Toc182468335"/>
      <w:bookmarkStart w:id="72" w:name="_Toc182380344"/>
      <w:bookmarkStart w:id="73" w:name="_Toc182467767"/>
      <w:r>
        <w:rPr>
          <w:rFonts w:hint="eastAsia"/>
        </w:rPr>
        <w:t>服务监督与评价</w:t>
      </w:r>
      <w:bookmarkEnd w:id="70"/>
      <w:bookmarkEnd w:id="71"/>
      <w:bookmarkEnd w:id="72"/>
      <w:bookmarkEnd w:id="73"/>
    </w:p>
    <w:p w14:paraId="6E97FC5C">
      <w:pPr>
        <w:pStyle w:val="56"/>
        <w:ind w:firstLine="420"/>
      </w:pPr>
      <w:r>
        <w:rPr>
          <w:rFonts w:hint="eastAsia"/>
        </w:rPr>
        <w:t>应对服务进行定期监督与评价，将服务评价标准、评价方式和评价结果向公众公开，接受社会监督。</w:t>
      </w:r>
    </w:p>
    <w:p w14:paraId="4F79EC6A">
      <w:pPr>
        <w:pStyle w:val="105"/>
        <w:spacing w:before="156" w:after="156"/>
      </w:pPr>
      <w:r>
        <w:rPr>
          <w:rFonts w:hint="eastAsia"/>
        </w:rPr>
        <w:t>服务监督</w:t>
      </w:r>
    </w:p>
    <w:p w14:paraId="594674F8">
      <w:pPr>
        <w:pStyle w:val="165"/>
      </w:pPr>
      <w:r>
        <w:rPr>
          <w:rFonts w:hint="eastAsia"/>
        </w:rPr>
        <w:t>内部监督机制应包括：</w:t>
      </w:r>
    </w:p>
    <w:p w14:paraId="08A68E01">
      <w:pPr>
        <w:pStyle w:val="132"/>
      </w:pPr>
      <w:r>
        <w:rPr>
          <w:rFonts w:hint="eastAsia"/>
        </w:rPr>
        <w:t>建立完善的内部监督机制，确保服务质量和效果；</w:t>
      </w:r>
    </w:p>
    <w:p w14:paraId="78A26B44">
      <w:pPr>
        <w:pStyle w:val="132"/>
      </w:pPr>
      <w:r>
        <w:rPr>
          <w:rFonts w:hint="eastAsia"/>
        </w:rPr>
        <w:t>机制包括但不限于服务流程监控、服务质量评估、客户投诉处理等环节；</w:t>
      </w:r>
    </w:p>
    <w:p w14:paraId="09FA04AB">
      <w:pPr>
        <w:pStyle w:val="132"/>
      </w:pPr>
      <w:r>
        <w:rPr>
          <w:rFonts w:hint="eastAsia"/>
        </w:rPr>
        <w:t>定期对内部服务流程进行审查和优化，确保服务的高效性和规范性。</w:t>
      </w:r>
    </w:p>
    <w:p w14:paraId="5791DC6D">
      <w:pPr>
        <w:pStyle w:val="165"/>
      </w:pPr>
      <w:r>
        <w:rPr>
          <w:rFonts w:hint="eastAsia"/>
        </w:rPr>
        <w:t>外部监督机制应包括：</w:t>
      </w:r>
    </w:p>
    <w:p w14:paraId="11C2264E">
      <w:pPr>
        <w:pStyle w:val="132"/>
      </w:pPr>
      <w:r>
        <w:rPr>
          <w:rFonts w:hint="eastAsia"/>
        </w:rPr>
        <w:t>定期对职业指导服务机构进行监督检查，确保其遵守相关法律法规及本标准要求；</w:t>
      </w:r>
    </w:p>
    <w:p w14:paraId="6044369B">
      <w:pPr>
        <w:pStyle w:val="132"/>
      </w:pPr>
      <w:r>
        <w:rPr>
          <w:rFonts w:hint="eastAsia"/>
        </w:rPr>
        <w:t>监督内容包括但不限于服务资质、服务内容、服务流程、服务效果等方面。</w:t>
      </w:r>
    </w:p>
    <w:p w14:paraId="33EFC1F5">
      <w:pPr>
        <w:pStyle w:val="65"/>
        <w:spacing w:before="156" w:after="156"/>
      </w:pPr>
      <w:r>
        <w:rPr>
          <w:rFonts w:hint="eastAsia"/>
        </w:rPr>
        <w:t>服务对象反馈</w:t>
      </w:r>
    </w:p>
    <w:p w14:paraId="6E4B5A76">
      <w:pPr>
        <w:pStyle w:val="56"/>
        <w:ind w:firstLine="420"/>
      </w:pPr>
      <w:r>
        <w:rPr>
          <w:rFonts w:hint="eastAsia"/>
        </w:rPr>
        <w:t>职业指导服务机构应建立有效的反馈机制，鼓励服务对象对服务过程和服务结果进行评价和反馈，认真对待求职者反馈，及时改进服务中的不足，提升客户满意度。应对反馈者的个人信息进行严格保密。</w:t>
      </w:r>
    </w:p>
    <w:p w14:paraId="69A5E961">
      <w:pPr>
        <w:pStyle w:val="105"/>
        <w:spacing w:before="156" w:after="156"/>
      </w:pPr>
      <w:r>
        <w:rPr>
          <w:rFonts w:hint="eastAsia"/>
        </w:rPr>
        <w:t>服务评价</w:t>
      </w:r>
    </w:p>
    <w:p w14:paraId="58D9D343">
      <w:pPr>
        <w:pStyle w:val="65"/>
        <w:spacing w:before="156" w:after="156"/>
      </w:pPr>
      <w:r>
        <w:rPr>
          <w:rFonts w:hint="eastAsia"/>
        </w:rPr>
        <w:t>评价标准</w:t>
      </w:r>
    </w:p>
    <w:p w14:paraId="71AB4350">
      <w:pPr>
        <w:pStyle w:val="56"/>
        <w:ind w:firstLine="420"/>
      </w:pPr>
      <w:r>
        <w:rPr>
          <w:rFonts w:hint="eastAsia"/>
        </w:rPr>
        <w:t>职业指导服务的评价应遵循客观、公正、全面的原则，从服务专业性、服务效果、服务态度、服务效率等多个维度进行评价。具体评价标准可包括但不限于：</w:t>
      </w:r>
    </w:p>
    <w:p w14:paraId="28D254B5">
      <w:pPr>
        <w:pStyle w:val="132"/>
      </w:pPr>
      <w:r>
        <w:rPr>
          <w:rFonts w:hint="eastAsia"/>
        </w:rPr>
        <w:t>职业指导人员是否具备专业资质，能否提供准确、专业的职业指导和建议；</w:t>
      </w:r>
    </w:p>
    <w:p w14:paraId="28085AAE">
      <w:pPr>
        <w:pStyle w:val="132"/>
      </w:pPr>
      <w:r>
        <w:rPr>
          <w:rFonts w:hint="eastAsia"/>
        </w:rPr>
        <w:t>客户在接受服务后，是否成功找到满意的工作或提升职业技能，以及客户对服务结果的满意度；</w:t>
      </w:r>
    </w:p>
    <w:p w14:paraId="638B7E28">
      <w:pPr>
        <w:pStyle w:val="132"/>
      </w:pPr>
      <w:r>
        <w:rPr>
          <w:rFonts w:hint="eastAsia"/>
        </w:rPr>
        <w:t>职业指导人员是否热情、耐心，能否尊重并理解客户需求，提供个性化的服务；</w:t>
      </w:r>
    </w:p>
    <w:p w14:paraId="453A3EA9">
      <w:pPr>
        <w:pStyle w:val="132"/>
      </w:pPr>
      <w:r>
        <w:rPr>
          <w:rFonts w:hint="eastAsia"/>
        </w:rPr>
        <w:t>职业指导服务机构是否能在规定时间内完成服务流程，及时响应客户需求。</w:t>
      </w:r>
    </w:p>
    <w:p w14:paraId="3AAB1792">
      <w:pPr>
        <w:pStyle w:val="65"/>
        <w:spacing w:before="156" w:after="156"/>
      </w:pPr>
      <w:r>
        <w:rPr>
          <w:rFonts w:hint="eastAsia"/>
        </w:rPr>
        <w:t>评价方式</w:t>
      </w:r>
    </w:p>
    <w:p w14:paraId="28368FBC">
      <w:pPr>
        <w:pStyle w:val="56"/>
        <w:ind w:firstLine="420"/>
      </w:pPr>
      <w:r>
        <w:rPr>
          <w:rFonts w:hint="eastAsia"/>
        </w:rPr>
        <w:t>应定期对服务进行评价，服务评价可采用多种方式进行，包括但不限于客户满意度调查、第三方评估、服务效果追踪等。</w:t>
      </w:r>
    </w:p>
    <w:p w14:paraId="0783C66F">
      <w:pPr>
        <w:pStyle w:val="65"/>
        <w:spacing w:before="156" w:after="156"/>
      </w:pPr>
      <w:r>
        <w:rPr>
          <w:rFonts w:hint="eastAsia"/>
        </w:rPr>
        <w:t>评价结果应用</w:t>
      </w:r>
    </w:p>
    <w:p w14:paraId="567C9D9B">
      <w:pPr>
        <w:pStyle w:val="56"/>
        <w:ind w:firstLine="420"/>
        <w:rPr>
          <w:rFonts w:hint="eastAsia"/>
        </w:rPr>
      </w:pPr>
      <w:r>
        <w:rPr>
          <w:rFonts w:hint="eastAsia"/>
        </w:rPr>
        <w:t>根据评价结果，及时总结服务中的优点和不足，制定改进措施。对于评价优秀的服务进行总结及推广；对于评价较差的服务中存在的问题，应及时整改，确保服务质量持续提升。</w:t>
      </w:r>
    </w:p>
    <w:bookmarkEnd w:id="24"/>
    <w:p w14:paraId="464CDA20">
      <w:pPr>
        <w:pStyle w:val="56"/>
        <w:ind w:firstLine="420"/>
        <w:sectPr>
          <w:pgSz w:w="11906" w:h="16838"/>
          <w:pgMar w:top="1928" w:right="1134" w:bottom="1134" w:left="1134" w:header="1418" w:footer="1134" w:gutter="284"/>
          <w:pgNumType w:start="1"/>
          <w:cols w:space="425" w:num="1"/>
          <w:formProt w:val="0"/>
          <w:docGrid w:type="lines" w:linePitch="312" w:charSpace="0"/>
        </w:sectPr>
      </w:pPr>
      <w:bookmarkStart w:id="74" w:name="BookMark6"/>
    </w:p>
    <w:p w14:paraId="576B031F">
      <w:pPr>
        <w:pStyle w:val="63"/>
        <w:spacing w:after="156"/>
      </w:pPr>
      <w:bookmarkStart w:id="75" w:name="_Toc182467768"/>
      <w:bookmarkStart w:id="76" w:name="_Toc182405118"/>
      <w:bookmarkStart w:id="77" w:name="_Toc182468336"/>
      <w:bookmarkStart w:id="78" w:name="_Toc182380345"/>
      <w:r>
        <w:rPr>
          <w:rFonts w:hint="eastAsia"/>
          <w:spacing w:val="105"/>
        </w:rPr>
        <w:t>参考文</w:t>
      </w:r>
      <w:r>
        <w:rPr>
          <w:rFonts w:hint="eastAsia"/>
        </w:rPr>
        <w:t>献</w:t>
      </w:r>
      <w:bookmarkEnd w:id="75"/>
      <w:bookmarkEnd w:id="76"/>
      <w:bookmarkEnd w:id="77"/>
      <w:bookmarkEnd w:id="78"/>
    </w:p>
    <w:p w14:paraId="2E2898A0">
      <w:pPr>
        <w:pStyle w:val="56"/>
        <w:ind w:firstLine="420"/>
      </w:pPr>
      <w:r>
        <w:rPr>
          <w:rFonts w:hint="eastAsia"/>
        </w:rPr>
        <w:t>[1] GB/T 33528—2017  公共就业服务 术语</w:t>
      </w:r>
    </w:p>
    <w:p w14:paraId="66741062">
      <w:pPr>
        <w:pStyle w:val="56"/>
        <w:ind w:firstLine="420"/>
      </w:pPr>
      <w:r>
        <w:rPr>
          <w:rFonts w:hint="eastAsia"/>
        </w:rPr>
        <w:t>[2] LD/T 2001—2023  公共创业服务规范</w:t>
      </w:r>
    </w:p>
    <w:p w14:paraId="0DA56CC7">
      <w:pPr>
        <w:pStyle w:val="56"/>
        <w:ind w:firstLine="420"/>
      </w:pPr>
      <w:r>
        <w:rPr>
          <w:rFonts w:hint="eastAsia"/>
        </w:rPr>
        <w:t>[3] 厦门市人力资源和社会保障局关于开展台湾地区职业资格采认试点工作的通知（厦人社〔2023〕191号）</w:t>
      </w:r>
    </w:p>
    <w:p w14:paraId="1E4AB45C">
      <w:pPr>
        <w:pStyle w:val="56"/>
        <w:ind w:firstLine="420"/>
      </w:pPr>
      <w:r>
        <w:rPr>
          <w:rFonts w:hint="eastAsia"/>
        </w:rPr>
        <w:t>[4] 厦门市人力资源和社会保障局关于印发《厦门市采认台湾地区职业资格目录清单（第二批）》的通知（厦人社〔2023〕269号）</w:t>
      </w:r>
    </w:p>
    <w:p w14:paraId="32F5EB64">
      <w:pPr>
        <w:pStyle w:val="56"/>
        <w:ind w:firstLine="420"/>
      </w:pPr>
      <w:r>
        <w:rPr>
          <w:rFonts w:hint="eastAsia"/>
        </w:rPr>
        <w:t>[5] 关于印发进一步鼓励和支持台湾青年来厦实习就业创业的若干措施的通知（厦府办规〔2021〕1号）</w:t>
      </w:r>
    </w:p>
    <w:p w14:paraId="1F541720">
      <w:pPr>
        <w:pStyle w:val="56"/>
        <w:ind w:firstLine="420"/>
      </w:pPr>
      <w:r>
        <w:rPr>
          <w:rFonts w:hint="eastAsia"/>
        </w:rPr>
        <w:t>[6] 厦门经济特区直接采认台湾地区职业资格若干规定（厦门市第十六届人民代表大会常务委员会公告第40号）</w:t>
      </w:r>
    </w:p>
    <w:p w14:paraId="7807D826">
      <w:pPr>
        <w:pStyle w:val="56"/>
        <w:ind w:firstLine="420"/>
      </w:pPr>
      <w:r>
        <w:rPr>
          <w:rFonts w:hint="eastAsia"/>
        </w:rPr>
        <w:t>[7] 厦门市人力资源和社会保障局 厦门市发展和改革委员会 厦门市民政局 厦门市财政局关于印发《厦门市就业服务质量提升工程实施方案》的通知（厦人社〔2022〕155号）</w:t>
      </w:r>
    </w:p>
    <w:p w14:paraId="794C7037">
      <w:pPr>
        <w:pStyle w:val="56"/>
        <w:ind w:firstLine="420"/>
      </w:pPr>
      <w:r>
        <w:rPr>
          <w:rFonts w:hint="eastAsia"/>
        </w:rPr>
        <w:t>[8] 厦门市人力资源和社会保障局关于成立就业指导专家团的通知（厦人社〔2023〕280号）</w:t>
      </w:r>
    </w:p>
    <w:bookmarkEnd w:id="74"/>
    <w:p w14:paraId="2728E663">
      <w:pPr>
        <w:pStyle w:val="56"/>
        <w:ind w:firstLine="0" w:firstLineChars="0"/>
        <w:jc w:val="center"/>
      </w:pPr>
      <w:bookmarkStart w:id="79" w:name="BookMark8"/>
      <w:r>
        <w:drawing>
          <wp:inline distT="0" distB="0" distL="0" distR="0">
            <wp:extent cx="1485900" cy="317500"/>
            <wp:effectExtent l="0" t="0" r="0" b="6350"/>
            <wp:docPr id="744821868" name="图片 3"/>
            <wp:cNvGraphicFramePr/>
            <a:graphic xmlns:a="http://schemas.openxmlformats.org/drawingml/2006/main">
              <a:graphicData uri="http://schemas.openxmlformats.org/drawingml/2006/picture">
                <pic:pic xmlns:pic="http://schemas.openxmlformats.org/drawingml/2006/picture">
                  <pic:nvPicPr>
                    <pic:cNvPr id="744821868" name="图片 3"/>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9"/>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1A14A">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4F4A6">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150A3">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8CC30">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E7F43">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643B2">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87188">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0D2BA">
    <w:pPr>
      <w:pStyle w:val="61"/>
      <w:rPr>
        <w:rFonts w:hint="eastAsia"/>
      </w:rPr>
    </w:pPr>
    <w:r>
      <w:fldChar w:fldCharType="begin"/>
    </w:r>
    <w:r>
      <w:instrText xml:space="preserve"> STYLEREF  标准文件_文件编号  \* MERGEFORMAT </w:instrText>
    </w:r>
    <w:r>
      <w:fldChar w:fldCharType="separate"/>
    </w:r>
    <w:r>
      <w:t>DB3502/T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2234C">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DB3502/T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default" w:ascii="Times New Roman" w:hAnsi="Times New Roman" w:eastAsia="宋体" w:cs="Times New Roman"/>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3687"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977"/>
    <w:rsid w:val="0000040A"/>
    <w:rsid w:val="00000A94"/>
    <w:rsid w:val="00001972"/>
    <w:rsid w:val="00001D9A"/>
    <w:rsid w:val="00007B3A"/>
    <w:rsid w:val="000107E0"/>
    <w:rsid w:val="00011FDE"/>
    <w:rsid w:val="00012FFD"/>
    <w:rsid w:val="00014162"/>
    <w:rsid w:val="00014340"/>
    <w:rsid w:val="0001458A"/>
    <w:rsid w:val="00016A9C"/>
    <w:rsid w:val="00022184"/>
    <w:rsid w:val="00022762"/>
    <w:rsid w:val="000238E0"/>
    <w:rsid w:val="000249DB"/>
    <w:rsid w:val="0002595E"/>
    <w:rsid w:val="000303C3"/>
    <w:rsid w:val="000331D3"/>
    <w:rsid w:val="000346A5"/>
    <w:rsid w:val="00034A49"/>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A41"/>
    <w:rsid w:val="00073C8C"/>
    <w:rsid w:val="00077B64"/>
    <w:rsid w:val="00080A1C"/>
    <w:rsid w:val="00082317"/>
    <w:rsid w:val="00083D2C"/>
    <w:rsid w:val="00084624"/>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30AA"/>
    <w:rsid w:val="000C4B41"/>
    <w:rsid w:val="000C57D6"/>
    <w:rsid w:val="000C5970"/>
    <w:rsid w:val="000C6362"/>
    <w:rsid w:val="000C7666"/>
    <w:rsid w:val="000D0A9C"/>
    <w:rsid w:val="000D1795"/>
    <w:rsid w:val="000D329A"/>
    <w:rsid w:val="000D4B9C"/>
    <w:rsid w:val="000D4EB6"/>
    <w:rsid w:val="000D753B"/>
    <w:rsid w:val="000E3DE5"/>
    <w:rsid w:val="000E4C9E"/>
    <w:rsid w:val="000E6FD7"/>
    <w:rsid w:val="000F06E1"/>
    <w:rsid w:val="000F0E3C"/>
    <w:rsid w:val="000F19D5"/>
    <w:rsid w:val="000F4AEA"/>
    <w:rsid w:val="000F633F"/>
    <w:rsid w:val="000F67E9"/>
    <w:rsid w:val="00104926"/>
    <w:rsid w:val="00113B1E"/>
    <w:rsid w:val="00113CE0"/>
    <w:rsid w:val="0011476D"/>
    <w:rsid w:val="0011711C"/>
    <w:rsid w:val="0012059C"/>
    <w:rsid w:val="00124E4F"/>
    <w:rsid w:val="001260B7"/>
    <w:rsid w:val="001265CB"/>
    <w:rsid w:val="001307C5"/>
    <w:rsid w:val="001321C6"/>
    <w:rsid w:val="001325C4"/>
    <w:rsid w:val="00133010"/>
    <w:rsid w:val="001338EE"/>
    <w:rsid w:val="00133AAE"/>
    <w:rsid w:val="00135323"/>
    <w:rsid w:val="001356C4"/>
    <w:rsid w:val="00137B0C"/>
    <w:rsid w:val="00141114"/>
    <w:rsid w:val="00142969"/>
    <w:rsid w:val="001446C2"/>
    <w:rsid w:val="001457E7"/>
    <w:rsid w:val="00145D9D"/>
    <w:rsid w:val="00146388"/>
    <w:rsid w:val="001529E5"/>
    <w:rsid w:val="00153088"/>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A532C"/>
    <w:rsid w:val="001A608C"/>
    <w:rsid w:val="001B044E"/>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1CE4"/>
    <w:rsid w:val="001E2484"/>
    <w:rsid w:val="001E3CC4"/>
    <w:rsid w:val="001E4882"/>
    <w:rsid w:val="001E73AB"/>
    <w:rsid w:val="001F092D"/>
    <w:rsid w:val="001F143A"/>
    <w:rsid w:val="001F1605"/>
    <w:rsid w:val="001F1A00"/>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6A87"/>
    <w:rsid w:val="0022794E"/>
    <w:rsid w:val="0023250D"/>
    <w:rsid w:val="00233D64"/>
    <w:rsid w:val="0023482A"/>
    <w:rsid w:val="002359CB"/>
    <w:rsid w:val="00243540"/>
    <w:rsid w:val="0024497B"/>
    <w:rsid w:val="0024515B"/>
    <w:rsid w:val="00246021"/>
    <w:rsid w:val="0024666E"/>
    <w:rsid w:val="00247F52"/>
    <w:rsid w:val="00250B25"/>
    <w:rsid w:val="00250BBE"/>
    <w:rsid w:val="002515C2"/>
    <w:rsid w:val="0025194F"/>
    <w:rsid w:val="002555B1"/>
    <w:rsid w:val="0026148A"/>
    <w:rsid w:val="00262696"/>
    <w:rsid w:val="00263D25"/>
    <w:rsid w:val="002643C3"/>
    <w:rsid w:val="00264A0C"/>
    <w:rsid w:val="00266EEB"/>
    <w:rsid w:val="00267EF4"/>
    <w:rsid w:val="00270CB8"/>
    <w:rsid w:val="00272B08"/>
    <w:rsid w:val="002771AC"/>
    <w:rsid w:val="00281BB8"/>
    <w:rsid w:val="00281E9E"/>
    <w:rsid w:val="00282405"/>
    <w:rsid w:val="00283882"/>
    <w:rsid w:val="00285170"/>
    <w:rsid w:val="00285361"/>
    <w:rsid w:val="00292096"/>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5A18"/>
    <w:rsid w:val="002B7332"/>
    <w:rsid w:val="002B7F51"/>
    <w:rsid w:val="002C09E7"/>
    <w:rsid w:val="002C1E06"/>
    <w:rsid w:val="002C1E1C"/>
    <w:rsid w:val="002C3F07"/>
    <w:rsid w:val="002C5278"/>
    <w:rsid w:val="002C7EBB"/>
    <w:rsid w:val="002D06C1"/>
    <w:rsid w:val="002D42B5"/>
    <w:rsid w:val="002D4C4D"/>
    <w:rsid w:val="002D4F1A"/>
    <w:rsid w:val="002D6EC6"/>
    <w:rsid w:val="002D79AC"/>
    <w:rsid w:val="002E039D"/>
    <w:rsid w:val="002E4D5A"/>
    <w:rsid w:val="002E6326"/>
    <w:rsid w:val="002F30E0"/>
    <w:rsid w:val="002F329C"/>
    <w:rsid w:val="002F35E4"/>
    <w:rsid w:val="002F3730"/>
    <w:rsid w:val="002F38E1"/>
    <w:rsid w:val="002F7AF6"/>
    <w:rsid w:val="00300E63"/>
    <w:rsid w:val="00302F5F"/>
    <w:rsid w:val="0030441D"/>
    <w:rsid w:val="00305DE7"/>
    <w:rsid w:val="00306063"/>
    <w:rsid w:val="00313B85"/>
    <w:rsid w:val="00317988"/>
    <w:rsid w:val="003221B4"/>
    <w:rsid w:val="0032258D"/>
    <w:rsid w:val="00322E62"/>
    <w:rsid w:val="00324D13"/>
    <w:rsid w:val="00324D2A"/>
    <w:rsid w:val="00324D8B"/>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1CD9"/>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34A4"/>
    <w:rsid w:val="003B5BF0"/>
    <w:rsid w:val="003B60BF"/>
    <w:rsid w:val="003B6BE3"/>
    <w:rsid w:val="003B729C"/>
    <w:rsid w:val="003C010C"/>
    <w:rsid w:val="003C0A6C"/>
    <w:rsid w:val="003C14F8"/>
    <w:rsid w:val="003C3977"/>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1D83"/>
    <w:rsid w:val="003F23D3"/>
    <w:rsid w:val="003F3F08"/>
    <w:rsid w:val="003F49F1"/>
    <w:rsid w:val="003F6272"/>
    <w:rsid w:val="00400E72"/>
    <w:rsid w:val="00401400"/>
    <w:rsid w:val="00404869"/>
    <w:rsid w:val="00405884"/>
    <w:rsid w:val="00407D39"/>
    <w:rsid w:val="0041477A"/>
    <w:rsid w:val="004167A3"/>
    <w:rsid w:val="00422145"/>
    <w:rsid w:val="00432DAA"/>
    <w:rsid w:val="00434305"/>
    <w:rsid w:val="00435DF7"/>
    <w:rsid w:val="0043775B"/>
    <w:rsid w:val="0044083F"/>
    <w:rsid w:val="00441AE7"/>
    <w:rsid w:val="00445574"/>
    <w:rsid w:val="004467FB"/>
    <w:rsid w:val="00446F2A"/>
    <w:rsid w:val="00452D6B"/>
    <w:rsid w:val="00454484"/>
    <w:rsid w:val="0045517B"/>
    <w:rsid w:val="004624FB"/>
    <w:rsid w:val="00463B77"/>
    <w:rsid w:val="00463C7B"/>
    <w:rsid w:val="004644A6"/>
    <w:rsid w:val="0046454F"/>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4A1"/>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038E"/>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3EC"/>
    <w:rsid w:val="00587ADD"/>
    <w:rsid w:val="00591E27"/>
    <w:rsid w:val="005954A8"/>
    <w:rsid w:val="00595FD9"/>
    <w:rsid w:val="00596160"/>
    <w:rsid w:val="005966E2"/>
    <w:rsid w:val="00597007"/>
    <w:rsid w:val="005A0966"/>
    <w:rsid w:val="005A11B7"/>
    <w:rsid w:val="005A260B"/>
    <w:rsid w:val="005A4A1B"/>
    <w:rsid w:val="005A7830"/>
    <w:rsid w:val="005A7FCE"/>
    <w:rsid w:val="005B0F3F"/>
    <w:rsid w:val="005B3AE2"/>
    <w:rsid w:val="005B4903"/>
    <w:rsid w:val="005B51CE"/>
    <w:rsid w:val="005B5885"/>
    <w:rsid w:val="005B5CD7"/>
    <w:rsid w:val="005B6CF6"/>
    <w:rsid w:val="005B7422"/>
    <w:rsid w:val="005C29B8"/>
    <w:rsid w:val="005C5F21"/>
    <w:rsid w:val="005C7156"/>
    <w:rsid w:val="005D0C75"/>
    <w:rsid w:val="005D347B"/>
    <w:rsid w:val="005D4171"/>
    <w:rsid w:val="005D6A95"/>
    <w:rsid w:val="005D6B2C"/>
    <w:rsid w:val="005D6D9C"/>
    <w:rsid w:val="005E2335"/>
    <w:rsid w:val="005E34CA"/>
    <w:rsid w:val="005E3C18"/>
    <w:rsid w:val="005E6812"/>
    <w:rsid w:val="005E7881"/>
    <w:rsid w:val="005E78A7"/>
    <w:rsid w:val="005E78E0"/>
    <w:rsid w:val="005F0D9C"/>
    <w:rsid w:val="005F284E"/>
    <w:rsid w:val="005F4712"/>
    <w:rsid w:val="006000C7"/>
    <w:rsid w:val="006015CE"/>
    <w:rsid w:val="00604784"/>
    <w:rsid w:val="00605E50"/>
    <w:rsid w:val="00606419"/>
    <w:rsid w:val="00607D29"/>
    <w:rsid w:val="00612952"/>
    <w:rsid w:val="00614CC1"/>
    <w:rsid w:val="00615A9D"/>
    <w:rsid w:val="00617387"/>
    <w:rsid w:val="006205D6"/>
    <w:rsid w:val="0062328A"/>
    <w:rsid w:val="006252D8"/>
    <w:rsid w:val="00625500"/>
    <w:rsid w:val="006259BC"/>
    <w:rsid w:val="0062636B"/>
    <w:rsid w:val="00632182"/>
    <w:rsid w:val="00632AE0"/>
    <w:rsid w:val="00633781"/>
    <w:rsid w:val="00633C17"/>
    <w:rsid w:val="00634D9E"/>
    <w:rsid w:val="00636E3E"/>
    <w:rsid w:val="006379F7"/>
    <w:rsid w:val="00637E4D"/>
    <w:rsid w:val="00640620"/>
    <w:rsid w:val="00641A1F"/>
    <w:rsid w:val="00645904"/>
    <w:rsid w:val="00645AB1"/>
    <w:rsid w:val="00651ACB"/>
    <w:rsid w:val="00651C47"/>
    <w:rsid w:val="00652AB2"/>
    <w:rsid w:val="00653FED"/>
    <w:rsid w:val="00654EC0"/>
    <w:rsid w:val="0065525B"/>
    <w:rsid w:val="00655D4F"/>
    <w:rsid w:val="00656D29"/>
    <w:rsid w:val="00660C5C"/>
    <w:rsid w:val="006640E5"/>
    <w:rsid w:val="006646F1"/>
    <w:rsid w:val="00664929"/>
    <w:rsid w:val="00664F62"/>
    <w:rsid w:val="006655E1"/>
    <w:rsid w:val="00666106"/>
    <w:rsid w:val="00672060"/>
    <w:rsid w:val="00672BFD"/>
    <w:rsid w:val="006770F4"/>
    <w:rsid w:val="00677A84"/>
    <w:rsid w:val="0068026D"/>
    <w:rsid w:val="00680A27"/>
    <w:rsid w:val="006816A4"/>
    <w:rsid w:val="006819B8"/>
    <w:rsid w:val="006840A6"/>
    <w:rsid w:val="006850CD"/>
    <w:rsid w:val="0068531F"/>
    <w:rsid w:val="00685AAB"/>
    <w:rsid w:val="00695D22"/>
    <w:rsid w:val="006A07AA"/>
    <w:rsid w:val="006A25E5"/>
    <w:rsid w:val="006A2B46"/>
    <w:rsid w:val="006A336D"/>
    <w:rsid w:val="006A37B9"/>
    <w:rsid w:val="006A6392"/>
    <w:rsid w:val="006B2672"/>
    <w:rsid w:val="006B54BF"/>
    <w:rsid w:val="006B5F44"/>
    <w:rsid w:val="006B5F90"/>
    <w:rsid w:val="006B62E4"/>
    <w:rsid w:val="006C17A9"/>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1632E"/>
    <w:rsid w:val="00722FBF"/>
    <w:rsid w:val="00722FC2"/>
    <w:rsid w:val="00724879"/>
    <w:rsid w:val="00724E1B"/>
    <w:rsid w:val="00725949"/>
    <w:rsid w:val="00727FA2"/>
    <w:rsid w:val="0073160E"/>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453"/>
    <w:rsid w:val="007501A8"/>
    <w:rsid w:val="00750D61"/>
    <w:rsid w:val="00750EE1"/>
    <w:rsid w:val="00752B4D"/>
    <w:rsid w:val="00755402"/>
    <w:rsid w:val="00756B26"/>
    <w:rsid w:val="00756EDF"/>
    <w:rsid w:val="007600E3"/>
    <w:rsid w:val="00765C43"/>
    <w:rsid w:val="00765EFB"/>
    <w:rsid w:val="007671CA"/>
    <w:rsid w:val="00767C61"/>
    <w:rsid w:val="0077008A"/>
    <w:rsid w:val="00772B97"/>
    <w:rsid w:val="00773B9C"/>
    <w:rsid w:val="00773C1F"/>
    <w:rsid w:val="00774DA4"/>
    <w:rsid w:val="00776599"/>
    <w:rsid w:val="0078114B"/>
    <w:rsid w:val="00781DD2"/>
    <w:rsid w:val="00783ECF"/>
    <w:rsid w:val="0078413A"/>
    <w:rsid w:val="00794DEA"/>
    <w:rsid w:val="007959E8"/>
    <w:rsid w:val="00795E9C"/>
    <w:rsid w:val="007A0521"/>
    <w:rsid w:val="007A2E12"/>
    <w:rsid w:val="007A3475"/>
    <w:rsid w:val="007A41C8"/>
    <w:rsid w:val="007A54CE"/>
    <w:rsid w:val="007A5645"/>
    <w:rsid w:val="007A6FD9"/>
    <w:rsid w:val="007A7FFA"/>
    <w:rsid w:val="007B04EB"/>
    <w:rsid w:val="007B0D4F"/>
    <w:rsid w:val="007B5A3D"/>
    <w:rsid w:val="007B5B95"/>
    <w:rsid w:val="007B68EA"/>
    <w:rsid w:val="007B7453"/>
    <w:rsid w:val="007C1E8B"/>
    <w:rsid w:val="007C2D89"/>
    <w:rsid w:val="007C4593"/>
    <w:rsid w:val="007C5309"/>
    <w:rsid w:val="007C5B4C"/>
    <w:rsid w:val="007C6069"/>
    <w:rsid w:val="007D0066"/>
    <w:rsid w:val="007D0269"/>
    <w:rsid w:val="007D06C4"/>
    <w:rsid w:val="007D1352"/>
    <w:rsid w:val="007D2508"/>
    <w:rsid w:val="007D346A"/>
    <w:rsid w:val="007D6518"/>
    <w:rsid w:val="007D76BD"/>
    <w:rsid w:val="007D7B58"/>
    <w:rsid w:val="007E0BF1"/>
    <w:rsid w:val="007F0ED8"/>
    <w:rsid w:val="007F0F63"/>
    <w:rsid w:val="007F75CE"/>
    <w:rsid w:val="008013A4"/>
    <w:rsid w:val="008027CE"/>
    <w:rsid w:val="00802F42"/>
    <w:rsid w:val="00804383"/>
    <w:rsid w:val="00804BB7"/>
    <w:rsid w:val="00804D41"/>
    <w:rsid w:val="00806871"/>
    <w:rsid w:val="00810257"/>
    <w:rsid w:val="008104F5"/>
    <w:rsid w:val="00811072"/>
    <w:rsid w:val="00811369"/>
    <w:rsid w:val="00815419"/>
    <w:rsid w:val="008163C8"/>
    <w:rsid w:val="008164A1"/>
    <w:rsid w:val="00817325"/>
    <w:rsid w:val="00817ED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46A10"/>
    <w:rsid w:val="0085173A"/>
    <w:rsid w:val="00856316"/>
    <w:rsid w:val="008603CE"/>
    <w:rsid w:val="008620FC"/>
    <w:rsid w:val="008627A5"/>
    <w:rsid w:val="00862A4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59FD"/>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369E"/>
    <w:rsid w:val="008E3C1D"/>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BD0"/>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12BA"/>
    <w:rsid w:val="00981E2C"/>
    <w:rsid w:val="0098364B"/>
    <w:rsid w:val="00983BBB"/>
    <w:rsid w:val="00983C6D"/>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1D06"/>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1A8F"/>
    <w:rsid w:val="00A0096C"/>
    <w:rsid w:val="00A01757"/>
    <w:rsid w:val="00A028C0"/>
    <w:rsid w:val="00A02BAE"/>
    <w:rsid w:val="00A06A6B"/>
    <w:rsid w:val="00A07E47"/>
    <w:rsid w:val="00A129D0"/>
    <w:rsid w:val="00A12C33"/>
    <w:rsid w:val="00A138BA"/>
    <w:rsid w:val="00A14C8E"/>
    <w:rsid w:val="00A153D9"/>
    <w:rsid w:val="00A153EA"/>
    <w:rsid w:val="00A15F09"/>
    <w:rsid w:val="00A169B6"/>
    <w:rsid w:val="00A2271D"/>
    <w:rsid w:val="00A237D5"/>
    <w:rsid w:val="00A30D45"/>
    <w:rsid w:val="00A30EFC"/>
    <w:rsid w:val="00A31984"/>
    <w:rsid w:val="00A31FE6"/>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288"/>
    <w:rsid w:val="00A55BD6"/>
    <w:rsid w:val="00A55D50"/>
    <w:rsid w:val="00A57142"/>
    <w:rsid w:val="00A609A1"/>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4C20"/>
    <w:rsid w:val="00A952D7"/>
    <w:rsid w:val="00A963F7"/>
    <w:rsid w:val="00A96AD8"/>
    <w:rsid w:val="00AA052C"/>
    <w:rsid w:val="00AA1E45"/>
    <w:rsid w:val="00AA4286"/>
    <w:rsid w:val="00AA456B"/>
    <w:rsid w:val="00AA57F5"/>
    <w:rsid w:val="00AA672E"/>
    <w:rsid w:val="00AA6EC9"/>
    <w:rsid w:val="00AA777A"/>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796F"/>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3D82"/>
    <w:rsid w:val="00B65149"/>
    <w:rsid w:val="00B66567"/>
    <w:rsid w:val="00B66F52"/>
    <w:rsid w:val="00B66FE5"/>
    <w:rsid w:val="00B72880"/>
    <w:rsid w:val="00B736F9"/>
    <w:rsid w:val="00B758BF"/>
    <w:rsid w:val="00B77EC8"/>
    <w:rsid w:val="00B827A6"/>
    <w:rsid w:val="00B831CE"/>
    <w:rsid w:val="00B8373D"/>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42A7"/>
    <w:rsid w:val="00BE5B52"/>
    <w:rsid w:val="00BE7B8D"/>
    <w:rsid w:val="00BF0993"/>
    <w:rsid w:val="00BF10A9"/>
    <w:rsid w:val="00BF1703"/>
    <w:rsid w:val="00BF231C"/>
    <w:rsid w:val="00BF51E5"/>
    <w:rsid w:val="00BF66CC"/>
    <w:rsid w:val="00BF74A6"/>
    <w:rsid w:val="00BF7BAF"/>
    <w:rsid w:val="00C013AD"/>
    <w:rsid w:val="00C04904"/>
    <w:rsid w:val="00C056B3"/>
    <w:rsid w:val="00C103E5"/>
    <w:rsid w:val="00C13319"/>
    <w:rsid w:val="00C13EE9"/>
    <w:rsid w:val="00C21540"/>
    <w:rsid w:val="00C21906"/>
    <w:rsid w:val="00C21BFA"/>
    <w:rsid w:val="00C22148"/>
    <w:rsid w:val="00C22860"/>
    <w:rsid w:val="00C245E3"/>
    <w:rsid w:val="00C24C8D"/>
    <w:rsid w:val="00C25FE2"/>
    <w:rsid w:val="00C26B53"/>
    <w:rsid w:val="00C279B2"/>
    <w:rsid w:val="00C33E50"/>
    <w:rsid w:val="00C34C20"/>
    <w:rsid w:val="00C35A3E"/>
    <w:rsid w:val="00C42130"/>
    <w:rsid w:val="00C423A4"/>
    <w:rsid w:val="00C44BF5"/>
    <w:rsid w:val="00C47CE3"/>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1E6B"/>
    <w:rsid w:val="00C8248C"/>
    <w:rsid w:val="00C84E33"/>
    <w:rsid w:val="00C86D6F"/>
    <w:rsid w:val="00C905FC"/>
    <w:rsid w:val="00C92D03"/>
    <w:rsid w:val="00C9319C"/>
    <w:rsid w:val="00C93E68"/>
    <w:rsid w:val="00C9435D"/>
    <w:rsid w:val="00C94DF2"/>
    <w:rsid w:val="00C96741"/>
    <w:rsid w:val="00CA0B83"/>
    <w:rsid w:val="00CA2D1B"/>
    <w:rsid w:val="00CA375D"/>
    <w:rsid w:val="00CA662A"/>
    <w:rsid w:val="00CA7769"/>
    <w:rsid w:val="00CA7AFD"/>
    <w:rsid w:val="00CA7C3C"/>
    <w:rsid w:val="00CB0189"/>
    <w:rsid w:val="00CB0BA2"/>
    <w:rsid w:val="00CB1A42"/>
    <w:rsid w:val="00CB1B0C"/>
    <w:rsid w:val="00CB2C0B"/>
    <w:rsid w:val="00CB517D"/>
    <w:rsid w:val="00CC038D"/>
    <w:rsid w:val="00CC08DB"/>
    <w:rsid w:val="00CC232A"/>
    <w:rsid w:val="00CC39FF"/>
    <w:rsid w:val="00CC3C2F"/>
    <w:rsid w:val="00CC4AC8"/>
    <w:rsid w:val="00CC5233"/>
    <w:rsid w:val="00CC5DE6"/>
    <w:rsid w:val="00CC6E4E"/>
    <w:rsid w:val="00CC6FE8"/>
    <w:rsid w:val="00CC7202"/>
    <w:rsid w:val="00CC782E"/>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1AC3"/>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52FEA"/>
    <w:rsid w:val="00D5634B"/>
    <w:rsid w:val="00D66846"/>
    <w:rsid w:val="00D675FB"/>
    <w:rsid w:val="00D71F25"/>
    <w:rsid w:val="00D7220C"/>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3EA8"/>
    <w:rsid w:val="00DB498B"/>
    <w:rsid w:val="00DB66CA"/>
    <w:rsid w:val="00DB6BCA"/>
    <w:rsid w:val="00DB73F7"/>
    <w:rsid w:val="00DC0321"/>
    <w:rsid w:val="00DC3067"/>
    <w:rsid w:val="00DC370B"/>
    <w:rsid w:val="00DC5B90"/>
    <w:rsid w:val="00DD00FF"/>
    <w:rsid w:val="00DD0619"/>
    <w:rsid w:val="00DD07FB"/>
    <w:rsid w:val="00DD1033"/>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4640"/>
    <w:rsid w:val="00E06404"/>
    <w:rsid w:val="00E065D2"/>
    <w:rsid w:val="00E11A85"/>
    <w:rsid w:val="00E12495"/>
    <w:rsid w:val="00E15CCD"/>
    <w:rsid w:val="00E202EF"/>
    <w:rsid w:val="00E210B5"/>
    <w:rsid w:val="00E23D99"/>
    <w:rsid w:val="00E2552F"/>
    <w:rsid w:val="00E3137A"/>
    <w:rsid w:val="00E32CCF"/>
    <w:rsid w:val="00E34A98"/>
    <w:rsid w:val="00E35325"/>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99B"/>
    <w:rsid w:val="00E77A03"/>
    <w:rsid w:val="00E822E8"/>
    <w:rsid w:val="00E82554"/>
    <w:rsid w:val="00E82606"/>
    <w:rsid w:val="00E846C8"/>
    <w:rsid w:val="00E84957"/>
    <w:rsid w:val="00E84A55"/>
    <w:rsid w:val="00E85BFF"/>
    <w:rsid w:val="00E90391"/>
    <w:rsid w:val="00E906C2"/>
    <w:rsid w:val="00E91B14"/>
    <w:rsid w:val="00E9311F"/>
    <w:rsid w:val="00E934D1"/>
    <w:rsid w:val="00E94AF0"/>
    <w:rsid w:val="00E95D13"/>
    <w:rsid w:val="00E95DD3"/>
    <w:rsid w:val="00E969D5"/>
    <w:rsid w:val="00E9756F"/>
    <w:rsid w:val="00EA58D1"/>
    <w:rsid w:val="00EA61BC"/>
    <w:rsid w:val="00EA681A"/>
    <w:rsid w:val="00EA735B"/>
    <w:rsid w:val="00EB17DE"/>
    <w:rsid w:val="00EB1E69"/>
    <w:rsid w:val="00EB2086"/>
    <w:rsid w:val="00EB5EDF"/>
    <w:rsid w:val="00EB60FE"/>
    <w:rsid w:val="00EB74DB"/>
    <w:rsid w:val="00EC0BFC"/>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1008"/>
    <w:rsid w:val="00F06D37"/>
    <w:rsid w:val="00F07B9D"/>
    <w:rsid w:val="00F11586"/>
    <w:rsid w:val="00F1183B"/>
    <w:rsid w:val="00F11C9F"/>
    <w:rsid w:val="00F12263"/>
    <w:rsid w:val="00F1409D"/>
    <w:rsid w:val="00F14214"/>
    <w:rsid w:val="00F157A9"/>
    <w:rsid w:val="00F25BB6"/>
    <w:rsid w:val="00F26B7E"/>
    <w:rsid w:val="00F27A3B"/>
    <w:rsid w:val="00F3324F"/>
    <w:rsid w:val="00F33653"/>
    <w:rsid w:val="00F33817"/>
    <w:rsid w:val="00F420D5"/>
    <w:rsid w:val="00F451EA"/>
    <w:rsid w:val="00F45447"/>
    <w:rsid w:val="00F456C6"/>
    <w:rsid w:val="00F4577B"/>
    <w:rsid w:val="00F45FF0"/>
    <w:rsid w:val="00F46496"/>
    <w:rsid w:val="00F474D0"/>
    <w:rsid w:val="00F50179"/>
    <w:rsid w:val="00F515EE"/>
    <w:rsid w:val="00F56511"/>
    <w:rsid w:val="00F6194E"/>
    <w:rsid w:val="00F623AC"/>
    <w:rsid w:val="00F6412A"/>
    <w:rsid w:val="00F65893"/>
    <w:rsid w:val="00F66A4A"/>
    <w:rsid w:val="00F7027C"/>
    <w:rsid w:val="00F71E22"/>
    <w:rsid w:val="00F72142"/>
    <w:rsid w:val="00F72AE7"/>
    <w:rsid w:val="00F81141"/>
    <w:rsid w:val="00F82683"/>
    <w:rsid w:val="00F833BA"/>
    <w:rsid w:val="00F84FD0"/>
    <w:rsid w:val="00F859A8"/>
    <w:rsid w:val="00F86D87"/>
    <w:rsid w:val="00F9108B"/>
    <w:rsid w:val="00F91349"/>
    <w:rsid w:val="00F93A8A"/>
    <w:rsid w:val="00F95248"/>
    <w:rsid w:val="00F956A9"/>
    <w:rsid w:val="00F962A0"/>
    <w:rsid w:val="00F963ED"/>
    <w:rsid w:val="00F966CF"/>
    <w:rsid w:val="00F96CAE"/>
    <w:rsid w:val="00F97C99"/>
    <w:rsid w:val="00FA11F6"/>
    <w:rsid w:val="00FA4DAC"/>
    <w:rsid w:val="00FA662D"/>
    <w:rsid w:val="00FA73B1"/>
    <w:rsid w:val="00FB0CB9"/>
    <w:rsid w:val="00FB231D"/>
    <w:rsid w:val="00FB45F1"/>
    <w:rsid w:val="00FB4799"/>
    <w:rsid w:val="00FB4A72"/>
    <w:rsid w:val="00FB54E8"/>
    <w:rsid w:val="00FB7054"/>
    <w:rsid w:val="00FB77C1"/>
    <w:rsid w:val="00FC17B7"/>
    <w:rsid w:val="00FC2CB7"/>
    <w:rsid w:val="00FC4090"/>
    <w:rsid w:val="00FC55B4"/>
    <w:rsid w:val="00FD00E6"/>
    <w:rsid w:val="00FD09A1"/>
    <w:rsid w:val="00FD11D9"/>
    <w:rsid w:val="00FD2A7C"/>
    <w:rsid w:val="00FD3EC0"/>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D427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qFormat="1"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2C19BF1FF764D90AB5701F1714B66DB"/>
        <w:style w:val=""/>
        <w:category>
          <w:name w:val="常规"/>
          <w:gallery w:val="placeholder"/>
        </w:category>
        <w:types>
          <w:type w:val="bbPlcHdr"/>
        </w:types>
        <w:behaviors>
          <w:behavior w:val="content"/>
        </w:behaviors>
        <w:description w:val=""/>
        <w:guid w:val="{3BDCEBAC-5717-47B0-B5E1-706982D6C20D}"/>
      </w:docPartPr>
      <w:docPartBody>
        <w:p w14:paraId="3CFA8742">
          <w:pPr>
            <w:pStyle w:val="5"/>
            <w:rPr>
              <w:rFonts w:hint="eastAsia"/>
            </w:rPr>
          </w:pPr>
          <w:r>
            <w:rPr>
              <w:rStyle w:val="4"/>
              <w:rFonts w:hint="eastAsia"/>
            </w:rPr>
            <w:t>单击或点击此处输入文字。</w:t>
          </w:r>
        </w:p>
      </w:docPartBody>
    </w:docPart>
    <w:docPart>
      <w:docPartPr>
        <w:name w:val="222B6C3B25134BDDB208AE27ED7A25CB"/>
        <w:style w:val=""/>
        <w:category>
          <w:name w:val="常规"/>
          <w:gallery w:val="placeholder"/>
        </w:category>
        <w:types>
          <w:type w:val="bbPlcHdr"/>
        </w:types>
        <w:behaviors>
          <w:behavior w:val="content"/>
        </w:behaviors>
        <w:description w:val=""/>
        <w:guid w:val="{2D9C848F-DC91-4EA3-B19A-5D13B99D11D8}"/>
      </w:docPartPr>
      <w:docPartBody>
        <w:p w14:paraId="430642DA">
          <w:pPr>
            <w:pStyle w:val="6"/>
            <w:rPr>
              <w:rFonts w:hint="eastAsia"/>
            </w:rPr>
          </w:pPr>
          <w:r>
            <w:rPr>
              <w:rStyle w:val="4"/>
              <w:rFonts w:hint="eastAsia"/>
            </w:rPr>
            <w:t>选择一项。</w:t>
          </w:r>
        </w:p>
      </w:docPartBody>
    </w:docPart>
    <w:docPart>
      <w:docPartPr>
        <w:name w:val="9DE75FACAE454284BC5191CCF2EAD1DC"/>
        <w:style w:val=""/>
        <w:category>
          <w:name w:val="常规"/>
          <w:gallery w:val="placeholder"/>
        </w:category>
        <w:types>
          <w:type w:val="bbPlcHdr"/>
        </w:types>
        <w:behaviors>
          <w:behavior w:val="content"/>
        </w:behaviors>
        <w:description w:val=""/>
        <w:guid w:val="{673C4460-47CF-4EF7-B428-F0E730B55537}"/>
      </w:docPartPr>
      <w:docPartBody>
        <w:p w14:paraId="2A7A73DD">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565"/>
    <w:rsid w:val="00022130"/>
    <w:rsid w:val="00043B25"/>
    <w:rsid w:val="0014441C"/>
    <w:rsid w:val="001A532C"/>
    <w:rsid w:val="002B0015"/>
    <w:rsid w:val="006F179C"/>
    <w:rsid w:val="00794DEA"/>
    <w:rsid w:val="007D0066"/>
    <w:rsid w:val="00BF66CC"/>
    <w:rsid w:val="00CE2922"/>
    <w:rsid w:val="00D12565"/>
    <w:rsid w:val="00DB3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92C19BF1FF764D90AB5701F1714B66DB"/>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222B6C3B25134BDDB208AE27ED7A25CB"/>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9DE75FACAE454284BC5191CCF2EAD1DC"/>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11</Pages>
  <Words>6422</Words>
  <Characters>6667</Characters>
  <Lines>55</Lines>
  <Paragraphs>15</Paragraphs>
  <TotalTime>0</TotalTime>
  <ScaleCrop>false</ScaleCrop>
  <LinksUpToDate>false</LinksUpToDate>
  <CharactersWithSpaces>6750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2024-11-11T06:34:00Z</dcterms:created>
  <dc:creator>Administrator</dc:creator>
  <dc:description>&lt;config cover="true" show_menu="true" version="1.0.0" doctype="SDKXY"&gt;_x000d_
&lt;/config&gt;</dc:description>
  <cp:lastModifiedBy>明慧可国</cp:lastModifiedBy>
  <cp:lastPrinted>2020-08-30T10:00:00Z</cp:lastPrinted>
  <dcterms:modified xsi:type="dcterms:W3CDTF">2025-02-17T06:48:33Z</dcterms:modified>
  <dc:title>地方标准</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eyJoZGlkIjoiMmI1NTZmMDJhMTQ4ZmE5YTk5ZDUyNmYxNTY4Y2NlNjkiLCJ1c2VySWQiOiIyNDgyOTg5NjIifQ==</vt:lpwstr>
  </property>
  <property fmtid="{D5CDD505-2E9C-101B-9397-08002B2CF9AE}" pid="15" name="KSOProductBuildVer">
    <vt:lpwstr>2052-12.1.0.19770</vt:lpwstr>
  </property>
  <property fmtid="{D5CDD505-2E9C-101B-9397-08002B2CF9AE}" pid="16" name="ICV">
    <vt:lpwstr>4D1A15D5300A49E19C2DB720EB994752_13</vt:lpwstr>
  </property>
</Properties>
</file>