
<file path=[Content_Types].xml><?xml version="1.0" encoding="utf-8"?>
<Types xmlns="http://schemas.openxmlformats.org/package/2006/content-types">
  <Default Extension="xml" ContentType="application/xml"/>
  <Default Extension="tiff" ContentType="image/tif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2"/>
        <w:tblW w:w="93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509"/>
        <w:gridCol w:w="8855"/>
      </w:tblGrid>
      <w:tr w14:paraId="368053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09" w:type="dxa"/>
          </w:tcPr>
          <w:p w14:paraId="6D9009D5">
            <w:pPr>
              <w:pStyle w:val="8"/>
              <w:framePr w:wrap="notBeside" w:vAnchor="page" w:hAnchor="page" w:x="1372" w:y="568"/>
              <w:tabs>
                <w:tab w:val="clear" w:pos="4153"/>
                <w:tab w:val="clear" w:pos="8306"/>
              </w:tabs>
              <w:spacing w:line="240" w:lineRule="auto"/>
              <w:jc w:val="left"/>
              <w:rPr>
                <w:rFonts w:ascii="黑体" w:hAnsi="黑体" w:eastAsia="黑体"/>
                <w:color w:val="auto"/>
                <w:sz w:val="21"/>
                <w:szCs w:val="21"/>
                <w:highlight w:val="none"/>
              </w:rPr>
            </w:pPr>
            <w:r>
              <w:rPr>
                <w:rFonts w:ascii="Times New Roman" w:hAnsi="Times New Roman" w:eastAsia="黑体"/>
                <w:color w:val="auto"/>
                <w:sz w:val="21"/>
                <w:szCs w:val="21"/>
                <w:highlight w:val="none"/>
              </w:rPr>
              <w:t>ICS</w:t>
            </w:r>
            <w:r>
              <w:rPr>
                <w:rFonts w:ascii="黑体" w:hAnsi="黑体" w:eastAsia="黑体"/>
                <w:color w:val="auto"/>
                <w:sz w:val="21"/>
                <w:szCs w:val="21"/>
                <w:highlight w:val="none"/>
              </w:rPr>
              <w:t xml:space="preserve">  </w:t>
            </w:r>
          </w:p>
        </w:tc>
        <w:tc>
          <w:tcPr>
            <w:tcW w:w="8855" w:type="dxa"/>
          </w:tcPr>
          <w:p w14:paraId="49D61F6C">
            <w:pPr>
              <w:pStyle w:val="8"/>
              <w:framePr w:wrap="notBeside" w:vAnchor="page" w:hAnchor="page" w:x="1372" w:y="568"/>
              <w:tabs>
                <w:tab w:val="clear" w:pos="4153"/>
                <w:tab w:val="clear" w:pos="8306"/>
              </w:tabs>
              <w:spacing w:line="240" w:lineRule="auto"/>
              <w:jc w:val="both"/>
              <w:rPr>
                <w:rFonts w:ascii="黑体" w:hAnsi="黑体" w:eastAsia="黑体"/>
                <w:color w:val="auto"/>
                <w:sz w:val="21"/>
                <w:szCs w:val="21"/>
                <w:highlight w:val="none"/>
              </w:rPr>
            </w:pPr>
          </w:p>
        </w:tc>
      </w:tr>
      <w:tr w14:paraId="0395E4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09" w:type="dxa"/>
          </w:tcPr>
          <w:p w14:paraId="7412B9A4">
            <w:pPr>
              <w:pStyle w:val="8"/>
              <w:framePr w:wrap="notBeside" w:vAnchor="page" w:hAnchor="page" w:x="1372" w:y="568"/>
              <w:tabs>
                <w:tab w:val="clear" w:pos="4153"/>
                <w:tab w:val="clear" w:pos="8306"/>
              </w:tabs>
              <w:spacing w:before="40" w:line="240" w:lineRule="auto"/>
              <w:jc w:val="left"/>
              <w:rPr>
                <w:rFonts w:ascii="黑体" w:hAnsi="黑体" w:eastAsia="黑体"/>
                <w:color w:val="auto"/>
                <w:sz w:val="21"/>
                <w:szCs w:val="21"/>
                <w:highlight w:val="none"/>
              </w:rPr>
            </w:pPr>
            <w:r>
              <w:rPr>
                <w:rFonts w:ascii="Times New Roman" w:hAnsi="Times New Roman" w:eastAsia="黑体"/>
                <w:color w:val="auto"/>
                <w:sz w:val="21"/>
                <w:szCs w:val="21"/>
                <w:highlight w:val="none"/>
              </w:rPr>
              <w:t xml:space="preserve">CCS </w:t>
            </w:r>
            <w:r>
              <w:rPr>
                <w:rFonts w:ascii="黑体" w:hAnsi="黑体" w:eastAsia="黑体"/>
                <w:color w:val="auto"/>
                <w:sz w:val="21"/>
                <w:szCs w:val="21"/>
                <w:highlight w:val="none"/>
              </w:rPr>
              <w:t xml:space="preserve"> </w:t>
            </w:r>
          </w:p>
        </w:tc>
        <w:tc>
          <w:tcPr>
            <w:tcW w:w="8855" w:type="dxa"/>
          </w:tcPr>
          <w:p w14:paraId="0D68ABDD">
            <w:pPr>
              <w:pStyle w:val="8"/>
              <w:framePr w:wrap="notBeside" w:vAnchor="page" w:hAnchor="page" w:x="1372" w:y="568"/>
              <w:tabs>
                <w:tab w:val="clear" w:pos="4153"/>
                <w:tab w:val="clear" w:pos="8306"/>
              </w:tabs>
              <w:spacing w:before="40" w:line="240" w:lineRule="auto"/>
              <w:jc w:val="left"/>
              <w:rPr>
                <w:rFonts w:ascii="黑体" w:hAnsi="黑体" w:eastAsia="黑体"/>
                <w:color w:val="auto"/>
                <w:sz w:val="21"/>
                <w:szCs w:val="21"/>
                <w:highlight w:val="none"/>
              </w:rPr>
            </w:pPr>
          </w:p>
        </w:tc>
      </w:tr>
    </w:tbl>
    <w:tbl>
      <w:tblPr>
        <w:tblStyle w:val="12"/>
        <w:tblpPr w:leftFromText="180" w:rightFromText="180" w:vertAnchor="text" w:horzAnchor="margin" w:tblpX="2683" w:tblpY="578"/>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221" w:type="dxa"/>
        </w:tblCellMar>
      </w:tblPr>
      <w:tblGrid>
        <w:gridCol w:w="6407"/>
      </w:tblGrid>
      <w:tr w14:paraId="4822E321">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221" w:type="dxa"/>
          </w:tblCellMar>
        </w:tblPrEx>
        <w:tc>
          <w:tcPr>
            <w:tcW w:w="6407" w:type="dxa"/>
          </w:tcPr>
          <w:p w14:paraId="28650FFB">
            <w:pPr>
              <w:pStyle w:val="17"/>
              <w:framePr w:w="0" w:hRule="auto" w:wrap="auto" w:vAnchor="margin" w:hAnchor="text" w:xAlign="left" w:yAlign="inline"/>
              <w:rPr>
                <w:rFonts w:ascii="宋体" w:hAnsi="宋体"/>
                <w:color w:val="auto"/>
                <w:sz w:val="28"/>
                <w:szCs w:val="28"/>
                <w:highlight w:val="none"/>
              </w:rPr>
            </w:pPr>
            <w:bookmarkStart w:id="0" w:name="_Hlk26473981"/>
            <w:r>
              <w:rPr>
                <w:color w:val="auto"/>
                <w:highlight w:val="none"/>
              </w:rPr>
              <w:drawing>
                <wp:inline distT="0" distB="0" distL="0" distR="0">
                  <wp:extent cx="796290" cy="397510"/>
                  <wp:effectExtent l="0" t="0" r="381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13958" cy="406373"/>
                          </a:xfrm>
                          <a:prstGeom prst="rect">
                            <a:avLst/>
                          </a:prstGeom>
                        </pic:spPr>
                      </pic:pic>
                    </a:graphicData>
                  </a:graphic>
                </wp:inline>
              </w:drawing>
            </w:r>
            <w:r>
              <w:rPr>
                <w:color w:val="auto"/>
                <w:highlight w:val="none"/>
              </w:rPr>
              <w:fldChar w:fldCharType="begin">
                <w:ffData>
                  <w:name w:val="c1"/>
                  <w:enabled/>
                  <w:calcOnExit w:val="0"/>
                  <w:textInput>
                    <w:maxLength w:val="8"/>
                  </w:textInput>
                </w:ffData>
              </w:fldChar>
            </w:r>
            <w:bookmarkStart w:id="1" w:name="c1"/>
            <w:r>
              <w:rPr>
                <w:color w:val="auto"/>
                <w:highlight w:val="none"/>
              </w:rPr>
              <w:instrText xml:space="preserve"> FORMTEXT </w:instrText>
            </w:r>
            <w:r>
              <w:rPr>
                <w:color w:val="auto"/>
                <w:highlight w:val="none"/>
              </w:rPr>
              <w:fldChar w:fldCharType="separate"/>
            </w:r>
            <w:r>
              <w:rPr>
                <w:color w:val="auto"/>
                <w:highlight w:val="none"/>
              </w:rPr>
              <w:t>3502</w:t>
            </w:r>
            <w:r>
              <w:rPr>
                <w:color w:val="auto"/>
                <w:highlight w:val="none"/>
              </w:rPr>
              <w:fldChar w:fldCharType="end"/>
            </w:r>
            <w:bookmarkEnd w:id="1"/>
          </w:p>
        </w:tc>
      </w:tr>
    </w:tbl>
    <w:p w14:paraId="7D7045BF">
      <w:pPr>
        <w:pStyle w:val="18"/>
        <w:framePr w:w="9639" w:h="624" w:hRule="exact" w:hSpace="181" w:vSpace="181" w:wrap="around" w:hAnchor="page" w:x="1305" w:y="2269"/>
        <w:rPr>
          <w:rFonts w:ascii="黑体" w:hAnsi="黑体" w:eastAsia="黑体"/>
          <w:b w:val="0"/>
          <w:bCs w:val="0"/>
          <w:color w:val="auto"/>
          <w:w w:val="100"/>
          <w:sz w:val="48"/>
          <w:szCs w:val="48"/>
          <w:highlight w:val="none"/>
        </w:rPr>
      </w:pPr>
      <w:r>
        <w:rPr>
          <w:rFonts w:hint="eastAsia" w:ascii="黑体" w:eastAsia="黑体"/>
          <w:b w:val="0"/>
          <w:color w:val="auto"/>
          <w:w w:val="100"/>
          <w:sz w:val="48"/>
          <w:highlight w:val="none"/>
        </w:rPr>
        <w:t>福建省厦门市</w:t>
      </w:r>
      <w:r>
        <w:rPr>
          <w:rFonts w:hint="eastAsia" w:ascii="黑体" w:hAnsi="黑体" w:eastAsia="黑体"/>
          <w:b w:val="0"/>
          <w:bCs w:val="0"/>
          <w:color w:val="auto"/>
          <w:w w:val="100"/>
          <w:sz w:val="48"/>
          <w:szCs w:val="48"/>
          <w:highlight w:val="none"/>
        </w:rPr>
        <w:t>地方标准</w:t>
      </w:r>
    </w:p>
    <w:bookmarkEnd w:id="0"/>
    <w:p w14:paraId="5730ABA5">
      <w:pPr>
        <w:pStyle w:val="19"/>
        <w:framePr w:wrap="around"/>
        <w:rPr>
          <w:color w:val="auto"/>
          <w:highlight w:val="none"/>
          <w:lang w:val="fr-FR"/>
        </w:rPr>
      </w:pPr>
      <w:r>
        <w:rPr>
          <w:color w:val="auto"/>
          <w:highlight w:val="none"/>
          <w:lang w:val="fr-FR"/>
        </w:rPr>
        <w:t>DB</w:t>
      </w:r>
      <w:r>
        <w:rPr>
          <w:color w:val="auto"/>
          <w:highlight w:val="none"/>
        </w:rPr>
        <w:fldChar w:fldCharType="begin">
          <w:ffData>
            <w:name w:val="文字1"/>
            <w:enabled/>
            <w:calcOnExit w:val="0"/>
            <w:textInput>
              <w:default w:val="XX/T"/>
            </w:textInput>
          </w:ffData>
        </w:fldChar>
      </w:r>
      <w:bookmarkStart w:id="2" w:name="文字1"/>
      <w:r>
        <w:rPr>
          <w:color w:val="auto"/>
          <w:highlight w:val="none"/>
          <w:lang w:val="fr-FR"/>
        </w:rPr>
        <w:instrText xml:space="preserve"> FORMTEXT </w:instrText>
      </w:r>
      <w:r>
        <w:rPr>
          <w:color w:val="auto"/>
          <w:highlight w:val="none"/>
        </w:rPr>
        <w:fldChar w:fldCharType="separate"/>
      </w:r>
      <w:r>
        <w:rPr>
          <w:color w:val="auto"/>
          <w:highlight w:val="none"/>
          <w:lang w:val="fr-FR"/>
        </w:rPr>
        <w:t>3502/T</w:t>
      </w:r>
      <w:r>
        <w:rPr>
          <w:color w:val="auto"/>
          <w:highlight w:val="none"/>
        </w:rPr>
        <w:fldChar w:fldCharType="end"/>
      </w:r>
      <w:bookmarkEnd w:id="2"/>
      <w:r>
        <w:rPr>
          <w:color w:val="auto"/>
          <w:highlight w:val="none"/>
          <w:lang w:val="fr-FR"/>
        </w:rPr>
        <w:t xml:space="preserve"> </w:t>
      </w:r>
      <w:r>
        <w:rPr>
          <w:color w:val="auto"/>
          <w:highlight w:val="none"/>
        </w:rPr>
        <w:fldChar w:fldCharType="begin">
          <w:ffData>
            <w:name w:val="NSTD_CODE_F"/>
            <w:enabled/>
            <w:calcOnExit w:val="0"/>
            <w:textInput>
              <w:default w:val="XXXX"/>
            </w:textInput>
          </w:ffData>
        </w:fldChar>
      </w:r>
      <w:bookmarkStart w:id="3" w:name="NSTD_CODE_F"/>
      <w:r>
        <w:rPr>
          <w:color w:val="auto"/>
          <w:highlight w:val="none"/>
          <w:lang w:val="fr-FR"/>
        </w:rPr>
        <w:instrText xml:space="preserve"> FORMTEXT </w:instrText>
      </w:r>
      <w:r>
        <w:rPr>
          <w:color w:val="auto"/>
          <w:highlight w:val="none"/>
        </w:rPr>
        <w:fldChar w:fldCharType="separate"/>
      </w:r>
      <w:r>
        <w:rPr>
          <w:color w:val="auto"/>
          <w:highlight w:val="none"/>
          <w:lang w:val="fr-FR"/>
        </w:rPr>
        <w:t>XXXX</w:t>
      </w:r>
      <w:r>
        <w:rPr>
          <w:color w:val="auto"/>
          <w:highlight w:val="none"/>
        </w:rPr>
        <w:fldChar w:fldCharType="end"/>
      </w:r>
      <w:bookmarkEnd w:id="3"/>
      <w:r>
        <w:rPr>
          <w:rFonts w:hAnsi="黑体"/>
          <w:color w:val="auto"/>
          <w:highlight w:val="none"/>
          <w:lang w:val="fr-FR"/>
        </w:rPr>
        <w:t>—</w:t>
      </w:r>
      <w:r>
        <w:rPr>
          <w:color w:val="auto"/>
          <w:highlight w:val="none"/>
        </w:rPr>
        <w:fldChar w:fldCharType="begin">
          <w:ffData>
            <w:name w:val="NSTD_CODE_B"/>
            <w:enabled/>
            <w:calcOnExit w:val="0"/>
            <w:textInput>
              <w:default w:val="XXXX"/>
            </w:textInput>
          </w:ffData>
        </w:fldChar>
      </w:r>
      <w:bookmarkStart w:id="4" w:name="NSTD_CODE_B"/>
      <w:r>
        <w:rPr>
          <w:color w:val="auto"/>
          <w:highlight w:val="none"/>
        </w:rPr>
        <w:instrText xml:space="preserve"> FORMTEXT </w:instrText>
      </w:r>
      <w:r>
        <w:rPr>
          <w:color w:val="auto"/>
          <w:highlight w:val="none"/>
        </w:rPr>
        <w:fldChar w:fldCharType="separate"/>
      </w:r>
      <w:r>
        <w:rPr>
          <w:color w:val="auto"/>
          <w:highlight w:val="none"/>
        </w:rPr>
        <w:t>XXXX</w:t>
      </w:r>
      <w:r>
        <w:rPr>
          <w:color w:val="auto"/>
          <w:highlight w:val="none"/>
        </w:rPr>
        <w:fldChar w:fldCharType="end"/>
      </w:r>
      <w:bookmarkEnd w:id="4"/>
    </w:p>
    <w:p w14:paraId="0135AB24">
      <w:pPr>
        <w:pStyle w:val="21"/>
        <w:framePr w:wrap="around"/>
        <w:rPr>
          <w:rFonts w:hAnsi="黑体"/>
          <w:color w:val="auto"/>
          <w:highlight w:val="none"/>
        </w:rPr>
      </w:pPr>
      <w:r>
        <w:rPr>
          <w:rFonts w:hAnsi="黑体"/>
          <w:color w:val="auto"/>
          <w:highlight w:val="none"/>
        </w:rPr>
        <w:fldChar w:fldCharType="begin">
          <w:ffData>
            <w:name w:val="OSTD_CODE"/>
            <w:enabled/>
            <w:calcOnExit w:val="0"/>
            <w:textInput/>
          </w:ffData>
        </w:fldChar>
      </w:r>
      <w:bookmarkStart w:id="5" w:name="OSTD_CODE"/>
      <w:r>
        <w:rPr>
          <w:rFonts w:hAnsi="黑体"/>
          <w:color w:val="auto"/>
          <w:highlight w:val="none"/>
        </w:rPr>
        <w:instrText xml:space="preserve"> FORMTEXT </w:instrText>
      </w:r>
      <w:r>
        <w:rPr>
          <w:rFonts w:hAnsi="黑体"/>
          <w:color w:val="auto"/>
          <w:highlight w:val="none"/>
        </w:rPr>
        <w:fldChar w:fldCharType="separate"/>
      </w:r>
      <w:r>
        <w:rPr>
          <w:rFonts w:hAnsi="黑体"/>
          <w:color w:val="auto"/>
          <w:highlight w:val="none"/>
        </w:rPr>
        <w:t>     </w:t>
      </w:r>
      <w:r>
        <w:rPr>
          <w:rFonts w:hAnsi="黑体"/>
          <w:color w:val="auto"/>
          <w:highlight w:val="none"/>
        </w:rPr>
        <w:fldChar w:fldCharType="end"/>
      </w:r>
      <w:bookmarkEnd w:id="5"/>
    </w:p>
    <w:p w14:paraId="02F34186">
      <w:pPr>
        <w:spacing w:line="240" w:lineRule="auto"/>
        <w:rPr>
          <w:rFonts w:ascii="黑体" w:hAnsi="黑体" w:eastAsia="黑体"/>
          <w:color w:val="auto"/>
          <w:kern w:val="0"/>
          <w:sz w:val="10"/>
          <w:szCs w:val="10"/>
          <w:highlight w:val="none"/>
        </w:rPr>
      </w:pPr>
      <w:r>
        <w:rPr>
          <w:rFonts w:ascii="黑体" w:hAnsi="黑体" w:eastAsia="黑体"/>
          <w:color w:val="auto"/>
          <w:kern w:val="0"/>
          <w:sz w:val="10"/>
          <w:szCs w:val="10"/>
          <w:highlight w:val="none"/>
        </w:rPr>
        <mc:AlternateContent>
          <mc:Choice Requires="wps">
            <w:drawing>
              <wp:anchor distT="0" distB="0" distL="114300" distR="114300" simplePos="0" relativeHeight="251659264" behindDoc="0" locked="0" layoutInCell="1" allowOverlap="0">
                <wp:simplePos x="0" y="0"/>
                <wp:positionH relativeFrom="page">
                  <wp:posOffset>900430</wp:posOffset>
                </wp:positionH>
                <wp:positionV relativeFrom="page">
                  <wp:posOffset>2700655</wp:posOffset>
                </wp:positionV>
                <wp:extent cx="6120130" cy="0"/>
                <wp:effectExtent l="0" t="4445" r="0" b="5080"/>
                <wp:wrapNone/>
                <wp:docPr id="73" name="直接连接符 73"/>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9pt;margin-top:212.65pt;height:0pt;width:481.9pt;mso-position-horizontal-relative:page;mso-position-vertical-relative:page;z-index:251659264;mso-width-relative:page;mso-height-relative:page;" filled="f" stroked="t" coordsize="21600,21600" o:allowoverlap="f" o:gfxdata="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ng0mW2AAA&#10;AAwBAAAPAAAAAAAAAAEAIAAAACIAAABkcnMvZG93bnJldi54bWxQSwECFAAUAAAACACHTuJAu+DK&#10;ZuUBAACsAwAADgAAAAAAAAABACAAAAAnAQAAZHJzL2Uyb0RvYy54bWxQSwUGAAAAAAYABgBZAQAA&#10;fgUAAAAA&#10;">
                <v:fill on="f" focussize="0,0"/>
                <v:stroke color="#000000" joinstyle="round"/>
                <v:imagedata o:title=""/>
                <o:lock v:ext="edit" aspectratio="f"/>
              </v:line>
            </w:pict>
          </mc:Fallback>
        </mc:AlternateContent>
      </w:r>
    </w:p>
    <w:p w14:paraId="4925630F">
      <w:pPr>
        <w:pStyle w:val="18"/>
        <w:framePr w:w="9639" w:h="6976" w:hRule="exact" w:hSpace="0" w:vSpace="0" w:wrap="around" w:hAnchor="page" w:y="6408"/>
        <w:jc w:val="center"/>
        <w:rPr>
          <w:rFonts w:ascii="黑体" w:hAnsi="黑体" w:eastAsia="黑体"/>
          <w:b w:val="0"/>
          <w:bCs w:val="0"/>
          <w:color w:val="auto"/>
          <w:w w:val="100"/>
          <w:highlight w:val="none"/>
        </w:rPr>
      </w:pPr>
    </w:p>
    <w:p w14:paraId="3A561053">
      <w:pPr>
        <w:pStyle w:val="22"/>
        <w:framePr w:h="6974" w:hRule="exact" w:wrap="around" w:x="1419" w:anchorLock="1"/>
        <w:rPr>
          <w:color w:val="auto"/>
          <w:highlight w:val="none"/>
        </w:rPr>
      </w:pPr>
      <w:r>
        <w:rPr>
          <w:rFonts w:hint="eastAsia"/>
          <w:color w:val="auto"/>
          <w:highlight w:val="none"/>
        </w:rPr>
        <w:t>小型综合管廊工程技术规范</w:t>
      </w:r>
    </w:p>
    <w:p w14:paraId="12BD1187">
      <w:pPr>
        <w:framePr w:w="9639" w:h="6974" w:hRule="exact" w:wrap="around" w:vAnchor="page" w:hAnchor="page" w:x="1419" w:y="6408" w:anchorLock="1"/>
        <w:ind w:left="-1418"/>
        <w:rPr>
          <w:color w:val="auto"/>
          <w:highlight w:val="none"/>
        </w:rPr>
      </w:pPr>
    </w:p>
    <w:p w14:paraId="7A56258E">
      <w:pPr>
        <w:pStyle w:val="23"/>
        <w:framePr w:w="9639" w:h="6974" w:hRule="exact" w:wrap="around" w:vAnchor="page" w:hAnchor="page" w:x="1419" w:y="6408" w:anchorLock="1"/>
        <w:textAlignment w:val="bottom"/>
        <w:rPr>
          <w:rFonts w:eastAsia="黑体"/>
          <w:color w:val="auto"/>
          <w:szCs w:val="28"/>
          <w:highlight w:val="none"/>
        </w:rPr>
      </w:pPr>
      <w:r>
        <w:rPr>
          <w:rFonts w:eastAsia="黑体"/>
          <w:color w:val="auto"/>
          <w:szCs w:val="28"/>
          <w:highlight w:val="none"/>
        </w:rPr>
        <w:fldChar w:fldCharType="begin">
          <w:ffData>
            <w:name w:val="ESTD_NAME"/>
            <w:enabled/>
            <w:calcOnExit w:val="0"/>
            <w:textInput>
              <w:default w:val="点击此处添加标准名称的英文译名"/>
            </w:textInput>
          </w:ffData>
        </w:fldChar>
      </w:r>
      <w:bookmarkStart w:id="6" w:name="ESTD_NAME"/>
      <w:r>
        <w:rPr>
          <w:rFonts w:eastAsia="黑体"/>
          <w:color w:val="auto"/>
          <w:szCs w:val="28"/>
          <w:highlight w:val="none"/>
        </w:rPr>
        <w:instrText xml:space="preserve"> FORMTEXT </w:instrText>
      </w:r>
      <w:r>
        <w:rPr>
          <w:rFonts w:eastAsia="黑体"/>
          <w:color w:val="auto"/>
          <w:szCs w:val="28"/>
          <w:highlight w:val="none"/>
        </w:rPr>
        <w:fldChar w:fldCharType="separate"/>
      </w:r>
      <w:r>
        <w:rPr>
          <w:rFonts w:hint="eastAsia" w:eastAsia="黑体"/>
          <w:color w:val="auto"/>
          <w:szCs w:val="28"/>
          <w:highlight w:val="none"/>
        </w:rPr>
        <w:t>点击此处添加标准名称的英文译名</w:t>
      </w:r>
      <w:r>
        <w:rPr>
          <w:rFonts w:eastAsia="黑体"/>
          <w:color w:val="auto"/>
          <w:szCs w:val="28"/>
          <w:highlight w:val="none"/>
        </w:rPr>
        <w:fldChar w:fldCharType="end"/>
      </w:r>
      <w:bookmarkEnd w:id="6"/>
    </w:p>
    <w:p w14:paraId="55EBBDA8">
      <w:pPr>
        <w:framePr w:w="9639" w:h="6974" w:hRule="exact" w:wrap="around" w:vAnchor="page" w:hAnchor="page" w:x="1419" w:y="6408" w:anchorLock="1"/>
        <w:spacing w:line="760" w:lineRule="exact"/>
        <w:ind w:left="-1418"/>
        <w:rPr>
          <w:color w:val="auto"/>
          <w:highlight w:val="none"/>
        </w:rPr>
      </w:pPr>
    </w:p>
    <w:p w14:paraId="4FD7C6A6">
      <w:pPr>
        <w:pStyle w:val="23"/>
        <w:framePr w:w="9639" w:h="6974" w:hRule="exact" w:wrap="around" w:vAnchor="page" w:hAnchor="page" w:x="1419" w:y="6408" w:anchorLock="1"/>
        <w:textAlignment w:val="bottom"/>
        <w:rPr>
          <w:rFonts w:eastAsia="黑体"/>
          <w:color w:val="auto"/>
          <w:szCs w:val="28"/>
          <w:highlight w:val="none"/>
        </w:rPr>
      </w:pPr>
    </w:p>
    <w:p w14:paraId="23ECA85F">
      <w:pPr>
        <w:pStyle w:val="23"/>
        <w:framePr w:w="9639" w:h="6974" w:hRule="exact" w:wrap="around" w:vAnchor="page" w:hAnchor="page" w:x="1419" w:y="6408" w:anchorLock="1"/>
        <w:textAlignment w:val="bottom"/>
        <w:rPr>
          <w:rFonts w:ascii="宋体" w:hAnsi="宋体" w:cs="宋体"/>
          <w:color w:val="auto"/>
          <w:highlight w:val="none"/>
        </w:rPr>
      </w:pPr>
      <w:r>
        <w:rPr>
          <w:rFonts w:hint="eastAsia" w:ascii="宋体" w:hAnsi="宋体" w:cs="宋体"/>
          <w:color w:val="auto"/>
          <w:highlight w:val="none"/>
        </w:rPr>
        <w:t>（</w:t>
      </w:r>
      <w:r>
        <w:rPr>
          <w:rFonts w:hint="eastAsia" w:ascii="宋体" w:hAnsi="宋体" w:cs="宋体"/>
          <w:color w:val="auto"/>
          <w:highlight w:val="none"/>
          <w:lang w:val="en-US" w:eastAsia="zh-CN"/>
        </w:rPr>
        <w:t>征求意见稿</w:t>
      </w:r>
      <w:r>
        <w:rPr>
          <w:rFonts w:hint="eastAsia" w:ascii="宋体" w:hAnsi="宋体" w:cs="宋体"/>
          <w:color w:val="auto"/>
          <w:highlight w:val="none"/>
        </w:rPr>
        <w:t>）</w:t>
      </w:r>
    </w:p>
    <w:p w14:paraId="490404BA">
      <w:pPr>
        <w:pStyle w:val="23"/>
        <w:framePr w:w="9639" w:h="6974" w:hRule="exact" w:wrap="around" w:vAnchor="page" w:hAnchor="page" w:x="1419" w:y="6408" w:anchorLock="1"/>
        <w:spacing w:before="440" w:after="160"/>
        <w:textAlignment w:val="bottom"/>
        <w:rPr>
          <w:color w:val="auto"/>
          <w:sz w:val="24"/>
          <w:szCs w:val="28"/>
          <w:highlight w:val="none"/>
        </w:rPr>
      </w:pPr>
    </w:p>
    <w:p w14:paraId="3A362099">
      <w:pPr>
        <w:pStyle w:val="23"/>
        <w:framePr w:w="9639" w:h="6974" w:hRule="exact" w:wrap="around" w:vAnchor="page" w:hAnchor="page" w:x="1419" w:y="6408" w:anchorLock="1"/>
        <w:spacing w:before="180" w:line="240" w:lineRule="atLeast"/>
        <w:textAlignment w:val="bottom"/>
        <w:rPr>
          <w:color w:val="auto"/>
          <w:sz w:val="21"/>
          <w:szCs w:val="28"/>
          <w:highlight w:val="none"/>
        </w:rPr>
      </w:pPr>
    </w:p>
    <w:p w14:paraId="498D5CEE">
      <w:pPr>
        <w:pStyle w:val="23"/>
        <w:framePr w:w="9639" w:h="6974" w:hRule="exact" w:wrap="around" w:vAnchor="page" w:hAnchor="page" w:x="1419" w:y="6408" w:anchorLock="1"/>
        <w:spacing w:before="720" w:beforeLines="300" w:after="72" w:afterLines="30" w:line="240" w:lineRule="auto"/>
        <w:textAlignment w:val="bottom"/>
        <w:rPr>
          <w:b/>
          <w:color w:val="auto"/>
          <w:sz w:val="21"/>
          <w:szCs w:val="28"/>
          <w:highlight w:val="none"/>
        </w:rPr>
      </w:pPr>
    </w:p>
    <w:p w14:paraId="4F32FE03">
      <w:pPr>
        <w:pStyle w:val="24"/>
        <w:framePr w:wrap="around" w:y="14176"/>
        <w:rPr>
          <w:color w:val="auto"/>
          <w:highlight w:val="none"/>
        </w:rPr>
      </w:pPr>
      <w:r>
        <w:rPr>
          <w:rFonts w:ascii="黑体"/>
          <w:color w:val="auto"/>
          <w:highlight w:val="none"/>
        </w:rPr>
        <w:fldChar w:fldCharType="begin">
          <w:ffData>
            <w:name w:val="PLSH_DATE_Y"/>
            <w:enabled/>
            <w:calcOnExit w:val="0"/>
            <w:textInput>
              <w:default w:val="XXXX"/>
              <w:maxLength w:val="4"/>
            </w:textInput>
          </w:ffData>
        </w:fldChar>
      </w:r>
      <w:bookmarkStart w:id="7" w:name="PLSH_DATE_Y"/>
      <w:r>
        <w:rPr>
          <w:rFonts w:ascii="黑体"/>
          <w:color w:val="auto"/>
          <w:highlight w:val="none"/>
        </w:rPr>
        <w:instrText xml:space="preserve"> FORMTEXT </w:instrText>
      </w:r>
      <w:r>
        <w:rPr>
          <w:rFonts w:ascii="黑体"/>
          <w:color w:val="auto"/>
          <w:highlight w:val="none"/>
        </w:rPr>
        <w:fldChar w:fldCharType="separate"/>
      </w:r>
      <w:r>
        <w:rPr>
          <w:rFonts w:ascii="黑体"/>
          <w:color w:val="auto"/>
          <w:highlight w:val="none"/>
        </w:rPr>
        <w:t>XXXX</w:t>
      </w:r>
      <w:r>
        <w:rPr>
          <w:rFonts w:ascii="黑体"/>
          <w:color w:val="auto"/>
          <w:highlight w:val="none"/>
        </w:rPr>
        <w:fldChar w:fldCharType="end"/>
      </w:r>
      <w:bookmarkEnd w:id="7"/>
      <w:r>
        <w:rPr>
          <w:color w:val="auto"/>
          <w:highlight w:val="none"/>
        </w:rPr>
        <w:t xml:space="preserve"> </w:t>
      </w:r>
      <w:r>
        <w:rPr>
          <w:rFonts w:ascii="黑体"/>
          <w:color w:val="auto"/>
          <w:highlight w:val="none"/>
        </w:rPr>
        <w:t>-</w:t>
      </w:r>
      <w:r>
        <w:rPr>
          <w:color w:val="auto"/>
          <w:highlight w:val="none"/>
        </w:rPr>
        <w:t xml:space="preserve"> </w:t>
      </w:r>
      <w:r>
        <w:rPr>
          <w:rFonts w:ascii="黑体"/>
          <w:color w:val="auto"/>
          <w:highlight w:val="none"/>
        </w:rPr>
        <w:fldChar w:fldCharType="begin">
          <w:ffData>
            <w:name w:val="PLSH_DATE_M"/>
            <w:enabled/>
            <w:calcOnExit w:val="0"/>
            <w:textInput>
              <w:default w:val="XX"/>
              <w:maxLength w:val="2"/>
            </w:textInput>
          </w:ffData>
        </w:fldChar>
      </w:r>
      <w:bookmarkStart w:id="8" w:name="PLSH_DATE_M"/>
      <w:r>
        <w:rPr>
          <w:rFonts w:ascii="黑体"/>
          <w:color w:val="auto"/>
          <w:highlight w:val="none"/>
        </w:rPr>
        <w:instrText xml:space="preserve"> FORMTEXT </w:instrText>
      </w:r>
      <w:r>
        <w:rPr>
          <w:rFonts w:ascii="黑体"/>
          <w:color w:val="auto"/>
          <w:highlight w:val="none"/>
        </w:rPr>
        <w:fldChar w:fldCharType="separate"/>
      </w:r>
      <w:r>
        <w:rPr>
          <w:rFonts w:ascii="黑体"/>
          <w:color w:val="auto"/>
          <w:highlight w:val="none"/>
        </w:rPr>
        <w:t>XX</w:t>
      </w:r>
      <w:r>
        <w:rPr>
          <w:rFonts w:ascii="黑体"/>
          <w:color w:val="auto"/>
          <w:highlight w:val="none"/>
        </w:rPr>
        <w:fldChar w:fldCharType="end"/>
      </w:r>
      <w:bookmarkEnd w:id="8"/>
      <w:r>
        <w:rPr>
          <w:color w:val="auto"/>
          <w:highlight w:val="none"/>
        </w:rPr>
        <w:t xml:space="preserve"> </w:t>
      </w:r>
      <w:r>
        <w:rPr>
          <w:rFonts w:ascii="黑体"/>
          <w:color w:val="auto"/>
          <w:highlight w:val="none"/>
        </w:rPr>
        <w:t>-</w:t>
      </w:r>
      <w:r>
        <w:rPr>
          <w:color w:val="auto"/>
          <w:highlight w:val="none"/>
        </w:rPr>
        <w:t xml:space="preserve"> </w:t>
      </w:r>
      <w:r>
        <w:rPr>
          <w:rFonts w:ascii="黑体"/>
          <w:color w:val="auto"/>
          <w:highlight w:val="none"/>
        </w:rPr>
        <w:fldChar w:fldCharType="begin">
          <w:ffData>
            <w:name w:val="PLSH_DATE_D"/>
            <w:enabled/>
            <w:calcOnExit w:val="0"/>
            <w:textInput>
              <w:default w:val="XX"/>
              <w:maxLength w:val="2"/>
            </w:textInput>
          </w:ffData>
        </w:fldChar>
      </w:r>
      <w:bookmarkStart w:id="9" w:name="PLSH_DATE_D"/>
      <w:r>
        <w:rPr>
          <w:rFonts w:ascii="黑体"/>
          <w:color w:val="auto"/>
          <w:highlight w:val="none"/>
        </w:rPr>
        <w:instrText xml:space="preserve"> FORMTEXT </w:instrText>
      </w:r>
      <w:r>
        <w:rPr>
          <w:rFonts w:ascii="黑体"/>
          <w:color w:val="auto"/>
          <w:highlight w:val="none"/>
        </w:rPr>
        <w:fldChar w:fldCharType="separate"/>
      </w:r>
      <w:r>
        <w:rPr>
          <w:rFonts w:ascii="黑体"/>
          <w:color w:val="auto"/>
          <w:highlight w:val="none"/>
        </w:rPr>
        <w:t>XX</w:t>
      </w:r>
      <w:r>
        <w:rPr>
          <w:rFonts w:ascii="黑体"/>
          <w:color w:val="auto"/>
          <w:highlight w:val="none"/>
        </w:rPr>
        <w:fldChar w:fldCharType="end"/>
      </w:r>
      <w:bookmarkEnd w:id="9"/>
      <w:r>
        <w:rPr>
          <w:rFonts w:hint="eastAsia"/>
          <w:color w:val="auto"/>
          <w:highlight w:val="none"/>
        </w:rPr>
        <w:t>发布</w:t>
      </w:r>
    </w:p>
    <w:p w14:paraId="724793FA">
      <w:pPr>
        <w:pStyle w:val="26"/>
        <w:framePr w:wrap="around" w:y="14176"/>
        <w:rPr>
          <w:color w:val="auto"/>
          <w:highlight w:val="none"/>
        </w:rPr>
      </w:pPr>
      <w:r>
        <w:rPr>
          <w:rFonts w:ascii="黑体"/>
          <w:color w:val="auto"/>
          <w:highlight w:val="none"/>
        </w:rPr>
        <w:fldChar w:fldCharType="begin">
          <w:ffData>
            <w:name w:val="CROT_DATE_Y"/>
            <w:enabled/>
            <w:calcOnExit w:val="0"/>
            <w:textInput>
              <w:default w:val="XXXX"/>
              <w:maxLength w:val="4"/>
            </w:textInput>
          </w:ffData>
        </w:fldChar>
      </w:r>
      <w:bookmarkStart w:id="10" w:name="CROT_DATE_Y"/>
      <w:r>
        <w:rPr>
          <w:rFonts w:ascii="黑体"/>
          <w:color w:val="auto"/>
          <w:highlight w:val="none"/>
        </w:rPr>
        <w:instrText xml:space="preserve"> FORMTEXT </w:instrText>
      </w:r>
      <w:r>
        <w:rPr>
          <w:rFonts w:ascii="黑体"/>
          <w:color w:val="auto"/>
          <w:highlight w:val="none"/>
        </w:rPr>
        <w:fldChar w:fldCharType="separate"/>
      </w:r>
      <w:r>
        <w:rPr>
          <w:rFonts w:ascii="黑体"/>
          <w:color w:val="auto"/>
          <w:highlight w:val="none"/>
        </w:rPr>
        <w:t>XXXX</w:t>
      </w:r>
      <w:r>
        <w:rPr>
          <w:rFonts w:ascii="黑体"/>
          <w:color w:val="auto"/>
          <w:highlight w:val="none"/>
        </w:rPr>
        <w:fldChar w:fldCharType="end"/>
      </w:r>
      <w:bookmarkEnd w:id="10"/>
      <w:r>
        <w:rPr>
          <w:color w:val="auto"/>
          <w:highlight w:val="none"/>
        </w:rPr>
        <w:t xml:space="preserve"> </w:t>
      </w:r>
      <w:r>
        <w:rPr>
          <w:rFonts w:ascii="黑体"/>
          <w:color w:val="auto"/>
          <w:highlight w:val="none"/>
        </w:rPr>
        <w:t>-</w:t>
      </w:r>
      <w:r>
        <w:rPr>
          <w:color w:val="auto"/>
          <w:highlight w:val="none"/>
        </w:rPr>
        <w:t xml:space="preserve"> </w:t>
      </w:r>
      <w:r>
        <w:rPr>
          <w:rFonts w:ascii="黑体"/>
          <w:color w:val="auto"/>
          <w:highlight w:val="none"/>
        </w:rPr>
        <w:fldChar w:fldCharType="begin">
          <w:ffData>
            <w:name w:val="CROT_DATE_M"/>
            <w:enabled/>
            <w:calcOnExit w:val="0"/>
            <w:textInput>
              <w:default w:val="XX"/>
              <w:maxLength w:val="2"/>
            </w:textInput>
          </w:ffData>
        </w:fldChar>
      </w:r>
      <w:bookmarkStart w:id="11" w:name="CROT_DATE_M"/>
      <w:r>
        <w:rPr>
          <w:rFonts w:ascii="黑体"/>
          <w:color w:val="auto"/>
          <w:highlight w:val="none"/>
        </w:rPr>
        <w:instrText xml:space="preserve"> FORMTEXT </w:instrText>
      </w:r>
      <w:r>
        <w:rPr>
          <w:rFonts w:ascii="黑体"/>
          <w:color w:val="auto"/>
          <w:highlight w:val="none"/>
        </w:rPr>
        <w:fldChar w:fldCharType="separate"/>
      </w:r>
      <w:r>
        <w:rPr>
          <w:rFonts w:ascii="黑体"/>
          <w:color w:val="auto"/>
          <w:highlight w:val="none"/>
        </w:rPr>
        <w:t>XX</w:t>
      </w:r>
      <w:r>
        <w:rPr>
          <w:rFonts w:ascii="黑体"/>
          <w:color w:val="auto"/>
          <w:highlight w:val="none"/>
        </w:rPr>
        <w:fldChar w:fldCharType="end"/>
      </w:r>
      <w:bookmarkEnd w:id="11"/>
      <w:r>
        <w:rPr>
          <w:color w:val="auto"/>
          <w:highlight w:val="none"/>
        </w:rPr>
        <w:t xml:space="preserve"> </w:t>
      </w:r>
      <w:r>
        <w:rPr>
          <w:rFonts w:ascii="黑体"/>
          <w:color w:val="auto"/>
          <w:highlight w:val="none"/>
        </w:rPr>
        <w:t>-</w:t>
      </w:r>
      <w:r>
        <w:rPr>
          <w:color w:val="auto"/>
          <w:highlight w:val="none"/>
        </w:rPr>
        <w:t xml:space="preserve"> </w:t>
      </w:r>
      <w:r>
        <w:rPr>
          <w:rFonts w:ascii="黑体"/>
          <w:color w:val="auto"/>
          <w:highlight w:val="none"/>
        </w:rPr>
        <w:fldChar w:fldCharType="begin">
          <w:ffData>
            <w:name w:val="CROT_DATE_D"/>
            <w:enabled/>
            <w:calcOnExit w:val="0"/>
            <w:textInput>
              <w:default w:val="XX"/>
              <w:maxLength w:val="2"/>
            </w:textInput>
          </w:ffData>
        </w:fldChar>
      </w:r>
      <w:bookmarkStart w:id="12" w:name="CROT_DATE_D"/>
      <w:r>
        <w:rPr>
          <w:rFonts w:ascii="黑体"/>
          <w:color w:val="auto"/>
          <w:highlight w:val="none"/>
        </w:rPr>
        <w:instrText xml:space="preserve"> FORMTEXT </w:instrText>
      </w:r>
      <w:r>
        <w:rPr>
          <w:rFonts w:ascii="黑体"/>
          <w:color w:val="auto"/>
          <w:highlight w:val="none"/>
        </w:rPr>
        <w:fldChar w:fldCharType="separate"/>
      </w:r>
      <w:r>
        <w:rPr>
          <w:rFonts w:ascii="黑体"/>
          <w:color w:val="auto"/>
          <w:highlight w:val="none"/>
        </w:rPr>
        <w:t>XX</w:t>
      </w:r>
      <w:r>
        <w:rPr>
          <w:rFonts w:ascii="黑体"/>
          <w:color w:val="auto"/>
          <w:highlight w:val="none"/>
        </w:rPr>
        <w:fldChar w:fldCharType="end"/>
      </w:r>
      <w:bookmarkEnd w:id="12"/>
      <w:r>
        <w:rPr>
          <w:rFonts w:hint="eastAsia"/>
          <w:color w:val="auto"/>
          <w:highlight w:val="none"/>
        </w:rPr>
        <w:t>实施</w:t>
      </w:r>
    </w:p>
    <w:p w14:paraId="3F04C453">
      <w:pPr>
        <w:pStyle w:val="28"/>
        <w:framePr w:h="584" w:hRule="exact" w:hSpace="181" w:vSpace="181" w:wrap="around" w:y="15027"/>
        <w:rPr>
          <w:rFonts w:hAnsi="黑体"/>
          <w:color w:val="auto"/>
          <w:highlight w:val="none"/>
        </w:rPr>
      </w:pPr>
      <w:r>
        <w:rPr>
          <w:rFonts w:hint="eastAsia" w:hAnsi="黑体"/>
          <w:color w:val="auto"/>
          <w:w w:val="100"/>
          <w:sz w:val="28"/>
          <w:highlight w:val="none"/>
        </w:rPr>
        <w:t>厦门市市场监督管理局</w:t>
      </w:r>
      <w:r>
        <w:rPr>
          <w:rFonts w:ascii="Times New Roman"/>
          <w:color w:val="auto"/>
          <w:w w:val="100"/>
          <w:sz w:val="28"/>
          <w:highlight w:val="none"/>
        </w:rPr>
        <w:t>  </w:t>
      </w:r>
      <w:r>
        <w:rPr>
          <w:rStyle w:val="30"/>
          <w:rFonts w:hint="eastAsia" w:hAnsi="黑体"/>
          <w:color w:val="auto"/>
          <w:position w:val="0"/>
          <w:highlight w:val="none"/>
        </w:rPr>
        <w:t>发</w:t>
      </w:r>
      <w:r>
        <w:rPr>
          <w:rStyle w:val="30"/>
          <w:rFonts w:hint="eastAsia" w:hAnsi="黑体"/>
          <w:color w:val="auto"/>
          <w:spacing w:val="0"/>
          <w:position w:val="0"/>
          <w:highlight w:val="none"/>
        </w:rPr>
        <w:t>布</w:t>
      </w:r>
    </w:p>
    <w:p w14:paraId="3F5A791D">
      <w:pPr>
        <w:rPr>
          <w:rFonts w:ascii="宋体" w:hAnsi="宋体"/>
          <w:color w:val="auto"/>
          <w:sz w:val="28"/>
          <w:szCs w:val="28"/>
          <w:highlight w:val="none"/>
        </w:rPr>
        <w:sectPr>
          <w:headerReference r:id="rId6" w:type="first"/>
          <w:footerReference r:id="rId8" w:type="first"/>
          <w:headerReference r:id="rId5" w:type="default"/>
          <w:footerReference r:id="rId7" w:type="even"/>
          <w:pgSz w:w="11906" w:h="16838"/>
          <w:pgMar w:top="-338" w:right="1134" w:bottom="1021" w:left="1134" w:header="0" w:footer="0" w:gutter="284"/>
          <w:cols w:space="425" w:num="1"/>
          <w:titlePg/>
          <w:docGrid w:linePitch="312" w:charSpace="0"/>
        </w:sectPr>
      </w:pPr>
      <w:r>
        <w:rPr>
          <w:rFonts w:hint="eastAsia" w:ascii="宋体" w:hAnsi="宋体"/>
          <w:color w:val="auto"/>
          <w:sz w:val="28"/>
          <w:szCs w:val="28"/>
          <w:highlight w:val="none"/>
        </w:rPr>
        <mc:AlternateContent>
          <mc:Choice Requires="wps">
            <w:drawing>
              <wp:anchor distT="0" distB="0" distL="114300" distR="114300" simplePos="0" relativeHeight="251660288" behindDoc="0" locked="1" layoutInCell="1" allowOverlap="1">
                <wp:simplePos x="0" y="0"/>
                <wp:positionH relativeFrom="page">
                  <wp:posOffset>899795</wp:posOffset>
                </wp:positionH>
                <wp:positionV relativeFrom="page">
                  <wp:posOffset>9253220</wp:posOffset>
                </wp:positionV>
                <wp:extent cx="6120130" cy="0"/>
                <wp:effectExtent l="0" t="4445" r="0" b="5080"/>
                <wp:wrapNone/>
                <wp:docPr id="5" name="直接连接符 5"/>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85pt;margin-top:728.6pt;height:0pt;width:481.9pt;mso-position-horizontal-relative:page;mso-position-vertical-relative:page;z-index:251660288;mso-width-relative:page;mso-height-relative:page;" filled="f" stroked="t" coordsize="21600,21600" o:gfxdata="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rMxz71wAAAA4B&#10;AAAPAAAAAAAAAAEAIAAAACIAAABkcnMvZG93bnJldi54bWxQSwECFAAUAAAACACHTuJAWS4lmOMB&#10;AACqAwAADgAAAAAAAAABACAAAAAmAQAAZHJzL2Uyb0RvYy54bWxQSwUGAAAAAAYABgBZAQAAewUA&#10;AAAA&#10;">
                <v:fill on="f" focussize="0,0"/>
                <v:stroke color="#000000" joinstyle="round"/>
                <v:imagedata o:title=""/>
                <o:lock v:ext="edit" aspectratio="f"/>
                <w10:anchorlock/>
              </v:line>
            </w:pict>
          </mc:Fallback>
        </mc:AlternateContent>
      </w:r>
    </w:p>
    <w:p w14:paraId="6CB36D16">
      <w:pPr>
        <w:pStyle w:val="31"/>
        <w:spacing w:after="468"/>
        <w:rPr>
          <w:color w:val="auto"/>
          <w:highlight w:val="none"/>
        </w:rPr>
      </w:pPr>
      <w:bookmarkStart w:id="13" w:name="_Toc87452561"/>
      <w:bookmarkStart w:id="14" w:name="BookMark2"/>
      <w:r>
        <w:rPr>
          <w:color w:val="auto"/>
          <w:spacing w:val="320"/>
          <w:highlight w:val="none"/>
        </w:rPr>
        <w:t>前</w:t>
      </w:r>
      <w:r>
        <w:rPr>
          <w:color w:val="auto"/>
          <w:highlight w:val="none"/>
        </w:rPr>
        <w:t>言</w:t>
      </w:r>
      <w:bookmarkEnd w:id="13"/>
    </w:p>
    <w:p w14:paraId="3A6CCC2B">
      <w:pPr>
        <w:pStyle w:val="20"/>
        <w:ind w:firstLine="420"/>
        <w:rPr>
          <w:color w:val="auto"/>
          <w:highlight w:val="none"/>
        </w:rPr>
      </w:pPr>
      <w:r>
        <w:rPr>
          <w:rFonts w:hint="eastAsia"/>
          <w:color w:val="auto"/>
          <w:highlight w:val="none"/>
        </w:rPr>
        <w:t>为推进厦门市小型综合管廊建设，全面贯彻落实国家、省、市关于地下综合管廊建设的相关要求，提高厦门市小型综合管廊建设的科学性，规范指导小型综合管廊建设工作，集约利用城市建设用地、节约地下空间，提高城市工程管线建设安全与标准，统筹安排城市工程管线在小型综合管廊内的敷设，保证小型综合管廊建设方案安全适用、经济合理、技术先进、便于施工和维护，特制订本技术规范。</w:t>
      </w:r>
    </w:p>
    <w:p w14:paraId="7AE16C1A">
      <w:pPr>
        <w:pStyle w:val="20"/>
        <w:ind w:firstLine="420"/>
        <w:rPr>
          <w:color w:val="auto"/>
          <w:highlight w:val="none"/>
        </w:rPr>
      </w:pPr>
      <w:r>
        <w:rPr>
          <w:rFonts w:hint="eastAsia"/>
          <w:color w:val="auto"/>
          <w:highlight w:val="none"/>
        </w:rPr>
        <w:t>本规范适用于指导厦门市新建、扩建、改建的小型综合管廊工程的建设，内容主要包括总则、术语、基本规定、规划、总体设计、管线设计、附属设施设计、结构设计、施工及验收、维护管理等十个部分。</w:t>
      </w:r>
    </w:p>
    <w:p w14:paraId="34FD2386">
      <w:pPr>
        <w:pStyle w:val="20"/>
        <w:ind w:firstLine="420"/>
        <w:rPr>
          <w:color w:val="auto"/>
          <w:highlight w:val="none"/>
        </w:rPr>
      </w:pPr>
      <w:r>
        <w:rPr>
          <w:rFonts w:hint="eastAsia"/>
          <w:color w:val="auto"/>
          <w:highlight w:val="none"/>
        </w:rPr>
        <w:t>本规范由厦门市市政园林局归口管理，</w:t>
      </w:r>
      <w:r>
        <w:rPr>
          <w:rFonts w:hint="eastAsia" w:asciiTheme="minorEastAsia" w:hAnsiTheme="minorEastAsia"/>
          <w:color w:val="auto"/>
          <w:szCs w:val="21"/>
          <w:highlight w:val="none"/>
        </w:rPr>
        <w:t>由厦门</w:t>
      </w:r>
      <w:r>
        <w:rPr>
          <w:rFonts w:hint="eastAsia"/>
          <w:color w:val="auto"/>
          <w:highlight w:val="none"/>
        </w:rPr>
        <w:t>市政管廊投资管理有限公司</w:t>
      </w:r>
      <w:r>
        <w:rPr>
          <w:rFonts w:hint="eastAsia" w:asciiTheme="minorEastAsia" w:hAnsiTheme="minorEastAsia"/>
          <w:color w:val="auto"/>
          <w:szCs w:val="21"/>
          <w:highlight w:val="none"/>
        </w:rPr>
        <w:t>负责具体技术内容的解释</w:t>
      </w:r>
      <w:r>
        <w:rPr>
          <w:rFonts w:hint="eastAsia"/>
          <w:color w:val="auto"/>
          <w:highlight w:val="none"/>
        </w:rPr>
        <w:t>。</w:t>
      </w:r>
      <w:r>
        <w:rPr>
          <w:rFonts w:hint="eastAsia" w:asciiTheme="minorEastAsia" w:hAnsiTheme="minorEastAsia"/>
          <w:color w:val="auto"/>
          <w:szCs w:val="21"/>
          <w:highlight w:val="none"/>
        </w:rPr>
        <w:t>执行过程中如有意见或者建议，请寄送厦门市市政园林局总工程师办公室（地址：厦门市厦禾路362号建设大厦十楼，邮编：361003）。</w:t>
      </w:r>
    </w:p>
    <w:p w14:paraId="6E488BBE">
      <w:pPr>
        <w:pStyle w:val="20"/>
        <w:ind w:firstLine="420"/>
        <w:rPr>
          <w:color w:val="auto"/>
          <w:highlight w:val="none"/>
        </w:rPr>
      </w:pPr>
    </w:p>
    <w:p w14:paraId="7025DD79">
      <w:pPr>
        <w:pStyle w:val="20"/>
        <w:ind w:firstLine="420"/>
        <w:rPr>
          <w:color w:val="auto"/>
          <w:highlight w:val="none"/>
        </w:rPr>
      </w:pPr>
      <w:r>
        <w:rPr>
          <w:rFonts w:hint="eastAsia"/>
          <w:color w:val="auto"/>
          <w:highlight w:val="none"/>
        </w:rPr>
        <w:t>主编单位：厦门市市政工程中心</w:t>
      </w:r>
    </w:p>
    <w:p w14:paraId="77AE690F">
      <w:pPr>
        <w:pStyle w:val="20"/>
        <w:ind w:firstLine="1470" w:firstLineChars="700"/>
        <w:rPr>
          <w:color w:val="auto"/>
          <w:highlight w:val="none"/>
        </w:rPr>
      </w:pPr>
      <w:r>
        <w:rPr>
          <w:rFonts w:hint="eastAsia"/>
          <w:color w:val="auto"/>
          <w:highlight w:val="none"/>
        </w:rPr>
        <w:t>厦门市政管廊投资管理有限公司</w:t>
      </w:r>
    </w:p>
    <w:p w14:paraId="79015942">
      <w:pPr>
        <w:pStyle w:val="20"/>
        <w:ind w:firstLine="1470" w:firstLineChars="700"/>
        <w:rPr>
          <w:color w:val="auto"/>
          <w:highlight w:val="none"/>
        </w:rPr>
      </w:pPr>
      <w:r>
        <w:rPr>
          <w:rFonts w:hint="eastAsia"/>
          <w:color w:val="auto"/>
          <w:highlight w:val="none"/>
        </w:rPr>
        <w:t>厦门城市规划设计研究院有限公司</w:t>
      </w:r>
    </w:p>
    <w:p w14:paraId="43CA4013">
      <w:pPr>
        <w:pStyle w:val="20"/>
        <w:ind w:firstLine="1470" w:firstLineChars="700"/>
        <w:rPr>
          <w:color w:val="auto"/>
          <w:highlight w:val="none"/>
        </w:rPr>
      </w:pPr>
    </w:p>
    <w:p w14:paraId="4108DF8F">
      <w:pPr>
        <w:pStyle w:val="20"/>
        <w:ind w:firstLine="420"/>
        <w:rPr>
          <w:color w:val="auto"/>
          <w:highlight w:val="none"/>
        </w:rPr>
      </w:pPr>
      <w:r>
        <w:rPr>
          <w:rFonts w:hint="eastAsia"/>
          <w:color w:val="auto"/>
          <w:highlight w:val="none"/>
        </w:rPr>
        <w:t>参编单位：厦门市政城建研究院有限公司</w:t>
      </w:r>
    </w:p>
    <w:p w14:paraId="0C7555CE">
      <w:pPr>
        <w:pStyle w:val="20"/>
        <w:ind w:firstLine="1470" w:firstLineChars="700"/>
        <w:rPr>
          <w:color w:val="auto"/>
          <w:highlight w:val="none"/>
        </w:rPr>
      </w:pPr>
      <w:r>
        <w:rPr>
          <w:rFonts w:hint="eastAsia"/>
          <w:color w:val="auto"/>
          <w:highlight w:val="none"/>
        </w:rPr>
        <w:t>厦门市市政工程设计院有限公司</w:t>
      </w:r>
    </w:p>
    <w:p w14:paraId="0C69860C">
      <w:pPr>
        <w:pStyle w:val="20"/>
        <w:ind w:firstLine="1470" w:firstLineChars="700"/>
        <w:rPr>
          <w:color w:val="auto"/>
          <w:highlight w:val="none"/>
        </w:rPr>
      </w:pPr>
      <w:r>
        <w:rPr>
          <w:rFonts w:hint="eastAsia"/>
          <w:color w:val="auto"/>
          <w:highlight w:val="none"/>
        </w:rPr>
        <w:t>厦门中平公路勘察设计院有限公司</w:t>
      </w:r>
    </w:p>
    <w:p w14:paraId="47483567">
      <w:pPr>
        <w:pStyle w:val="20"/>
        <w:ind w:firstLine="1470" w:firstLineChars="700"/>
        <w:rPr>
          <w:color w:val="auto"/>
          <w:highlight w:val="none"/>
        </w:rPr>
      </w:pPr>
      <w:r>
        <w:rPr>
          <w:rFonts w:hint="eastAsia"/>
          <w:color w:val="auto"/>
          <w:highlight w:val="none"/>
        </w:rPr>
        <w:t>苏交科集团股份有限公司</w:t>
      </w:r>
    </w:p>
    <w:p w14:paraId="38358F5A">
      <w:pPr>
        <w:pStyle w:val="20"/>
        <w:ind w:firstLine="1470" w:firstLineChars="700"/>
        <w:rPr>
          <w:color w:val="auto"/>
          <w:highlight w:val="none"/>
        </w:rPr>
      </w:pPr>
    </w:p>
    <w:p w14:paraId="79C94EDA">
      <w:pPr>
        <w:pStyle w:val="20"/>
        <w:ind w:firstLine="420"/>
        <w:rPr>
          <w:rFonts w:hint="default" w:eastAsia="宋体"/>
          <w:color w:val="auto"/>
          <w:highlight w:val="none"/>
          <w:lang w:val="en-US" w:eastAsia="zh-CN"/>
        </w:rPr>
      </w:pPr>
      <w:r>
        <w:rPr>
          <w:rFonts w:hint="eastAsia"/>
          <w:color w:val="auto"/>
          <w:highlight w:val="none"/>
        </w:rPr>
        <w:t>主要起草人：谭沥东、黄翀、陈勇鹏、林馨钦、张远取、邹蓉珠、蔡岳、林金樽、谢伟、曾瑜、蔡心怡、许林英、罗冰、</w:t>
      </w:r>
      <w:r>
        <w:rPr>
          <w:rFonts w:hint="eastAsia"/>
          <w:color w:val="auto"/>
          <w:highlight w:val="none"/>
          <w:lang w:val="en-US" w:eastAsia="zh-CN"/>
        </w:rPr>
        <w:t>林高健、</w:t>
      </w:r>
      <w:r>
        <w:rPr>
          <w:rFonts w:hint="eastAsia"/>
          <w:color w:val="auto"/>
          <w:highlight w:val="none"/>
        </w:rPr>
        <w:t>张秋燕、董培东、</w:t>
      </w:r>
      <w:r>
        <w:rPr>
          <w:rFonts w:hint="eastAsia"/>
          <w:color w:val="auto"/>
          <w:highlight w:val="none"/>
          <w:lang w:val="en-US" w:eastAsia="zh-CN"/>
        </w:rPr>
        <w:t>曾绍益、张国兴、</w:t>
      </w:r>
      <w:r>
        <w:rPr>
          <w:rFonts w:hint="eastAsia"/>
          <w:color w:val="auto"/>
          <w:highlight w:val="none"/>
        </w:rPr>
        <w:t>洪永福、林中奇、温龙生、郑毅、李建伟、蔡宣岭、</w:t>
      </w:r>
      <w:r>
        <w:rPr>
          <w:rFonts w:hint="eastAsia"/>
          <w:color w:val="auto"/>
          <w:highlight w:val="none"/>
          <w:lang w:val="en-US" w:eastAsia="zh-CN"/>
        </w:rPr>
        <w:t>林秋亮、</w:t>
      </w:r>
      <w:r>
        <w:rPr>
          <w:rFonts w:hint="eastAsia"/>
          <w:color w:val="auto"/>
          <w:highlight w:val="none"/>
        </w:rPr>
        <w:t>黄玲芳、</w:t>
      </w:r>
      <w:r>
        <w:rPr>
          <w:rFonts w:hint="eastAsia"/>
          <w:color w:val="auto"/>
          <w:highlight w:val="none"/>
          <w:lang w:val="en-US" w:eastAsia="zh-CN"/>
        </w:rPr>
        <w:t>林森钦、林生源、</w:t>
      </w:r>
      <w:r>
        <w:rPr>
          <w:rFonts w:hint="eastAsia"/>
          <w:color w:val="auto"/>
          <w:highlight w:val="none"/>
        </w:rPr>
        <w:t>华国轩、刘佑伟、杨江凌</w:t>
      </w:r>
      <w:r>
        <w:rPr>
          <w:rFonts w:hint="eastAsia"/>
          <w:color w:val="auto"/>
          <w:highlight w:val="none"/>
          <w:lang w:eastAsia="zh-CN"/>
        </w:rPr>
        <w:t>、</w:t>
      </w:r>
      <w:r>
        <w:rPr>
          <w:rFonts w:hint="eastAsia"/>
          <w:color w:val="auto"/>
          <w:highlight w:val="none"/>
        </w:rPr>
        <w:t>任涌溢、</w:t>
      </w:r>
      <w:r>
        <w:rPr>
          <w:rFonts w:hint="eastAsia"/>
          <w:color w:val="auto"/>
          <w:highlight w:val="none"/>
          <w:lang w:val="en-US" w:eastAsia="zh-CN"/>
        </w:rPr>
        <w:t>杜欣俊、</w:t>
      </w:r>
      <w:r>
        <w:rPr>
          <w:rFonts w:hint="eastAsia"/>
          <w:color w:val="auto"/>
          <w:highlight w:val="none"/>
        </w:rPr>
        <w:t>蒲国柱、罗佳欣、邹小岚、陈客贤</w:t>
      </w:r>
      <w:r>
        <w:rPr>
          <w:rFonts w:hint="eastAsia"/>
          <w:color w:val="auto"/>
          <w:highlight w:val="none"/>
          <w:lang w:eastAsia="zh-CN"/>
        </w:rPr>
        <w:t>、</w:t>
      </w:r>
      <w:r>
        <w:rPr>
          <w:rFonts w:hint="eastAsia"/>
          <w:color w:val="auto"/>
          <w:highlight w:val="none"/>
        </w:rPr>
        <w:t>黄鹏伟、</w:t>
      </w:r>
      <w:r>
        <w:rPr>
          <w:rFonts w:hint="eastAsia"/>
          <w:color w:val="auto"/>
          <w:highlight w:val="none"/>
          <w:lang w:val="en-US" w:eastAsia="zh-CN"/>
        </w:rPr>
        <w:t>黄紫茹、</w:t>
      </w:r>
      <w:r>
        <w:rPr>
          <w:rFonts w:hint="eastAsia"/>
          <w:color w:val="auto"/>
          <w:highlight w:val="none"/>
        </w:rPr>
        <w:t>邱洁、</w:t>
      </w:r>
      <w:r>
        <w:rPr>
          <w:rFonts w:hint="eastAsia"/>
          <w:color w:val="auto"/>
          <w:highlight w:val="none"/>
          <w:lang w:val="en-US" w:eastAsia="zh-CN"/>
        </w:rPr>
        <w:t>林如玥、</w:t>
      </w:r>
      <w:r>
        <w:rPr>
          <w:rFonts w:hint="eastAsia"/>
          <w:color w:val="auto"/>
          <w:highlight w:val="none"/>
        </w:rPr>
        <w:t>林志燕、张明达、张培权</w:t>
      </w:r>
      <w:r>
        <w:rPr>
          <w:rFonts w:hint="eastAsia"/>
          <w:color w:val="auto"/>
          <w:highlight w:val="none"/>
          <w:lang w:eastAsia="zh-CN"/>
        </w:rPr>
        <w:t>、江春义、</w:t>
      </w:r>
      <w:r>
        <w:rPr>
          <w:rFonts w:hint="eastAsia"/>
          <w:color w:val="auto"/>
          <w:highlight w:val="none"/>
        </w:rPr>
        <w:t>林登科</w:t>
      </w:r>
      <w:r>
        <w:rPr>
          <w:rFonts w:hint="eastAsia"/>
          <w:color w:val="auto"/>
          <w:highlight w:val="none"/>
          <w:lang w:eastAsia="zh-CN"/>
        </w:rPr>
        <w:t>、</w:t>
      </w:r>
      <w:r>
        <w:rPr>
          <w:rFonts w:hint="eastAsia"/>
          <w:color w:val="auto"/>
          <w:highlight w:val="none"/>
        </w:rPr>
        <w:t>曾思昊</w:t>
      </w:r>
    </w:p>
    <w:p w14:paraId="3AE2F543">
      <w:pPr>
        <w:pStyle w:val="20"/>
        <w:ind w:firstLine="420"/>
        <w:rPr>
          <w:color w:val="auto"/>
          <w:highlight w:val="none"/>
        </w:rPr>
      </w:pPr>
    </w:p>
    <w:p w14:paraId="2FE7CCC1">
      <w:pPr>
        <w:pStyle w:val="20"/>
        <w:ind w:firstLine="420"/>
        <w:rPr>
          <w:color w:val="auto"/>
          <w:highlight w:val="none"/>
        </w:rPr>
      </w:pPr>
      <w:r>
        <w:rPr>
          <w:rFonts w:hint="eastAsia"/>
          <w:color w:val="auto"/>
          <w:highlight w:val="none"/>
        </w:rPr>
        <w:t>主要审查人：</w:t>
      </w:r>
    </w:p>
    <w:p w14:paraId="7C817B55">
      <w:pPr>
        <w:pStyle w:val="20"/>
        <w:ind w:firstLine="420"/>
        <w:rPr>
          <w:color w:val="auto"/>
          <w:highlight w:val="none"/>
        </w:rPr>
        <w:sectPr>
          <w:headerReference r:id="rId9" w:type="default"/>
          <w:footerReference r:id="rId10" w:type="default"/>
          <w:pgSz w:w="11906" w:h="16838"/>
          <w:pgMar w:top="2410" w:right="1134" w:bottom="1134" w:left="1134" w:header="1418" w:footer="1134" w:gutter="284"/>
          <w:pgNumType w:fmt="upperRoman"/>
          <w:cols w:space="425" w:num="1"/>
          <w:formProt w:val="0"/>
          <w:docGrid w:type="lines" w:linePitch="312" w:charSpace="0"/>
        </w:sectPr>
      </w:pPr>
    </w:p>
    <w:bookmarkEnd w:id="14"/>
    <w:p w14:paraId="1CC19BA3">
      <w:pPr>
        <w:spacing w:line="360" w:lineRule="auto"/>
        <w:ind w:firstLine="547" w:firstLineChars="171"/>
        <w:jc w:val="center"/>
        <w:rPr>
          <w:rFonts w:ascii="黑体" w:hAnsi="黑体" w:eastAsia="黑体" w:cs="黑体"/>
          <w:color w:val="auto"/>
          <w:sz w:val="32"/>
          <w:szCs w:val="32"/>
          <w:highlight w:val="none"/>
        </w:rPr>
      </w:pPr>
      <w:r>
        <w:rPr>
          <w:rFonts w:hint="eastAsia" w:ascii="黑体" w:hAnsi="黑体" w:eastAsia="黑体" w:cs="黑体"/>
          <w:color w:val="auto"/>
          <w:sz w:val="32"/>
          <w:szCs w:val="32"/>
          <w:highlight w:val="none"/>
        </w:rPr>
        <w:t>目    次</w:t>
      </w:r>
    </w:p>
    <w:p w14:paraId="70AA8669">
      <w:pPr>
        <w:pStyle w:val="10"/>
        <w:tabs>
          <w:tab w:val="right" w:leader="dot" w:pos="9355"/>
          <w:tab w:val="clear" w:pos="9344"/>
        </w:tabs>
        <w:rPr>
          <w:highlight w:val="none"/>
        </w:rPr>
      </w:pPr>
      <w:r>
        <w:rPr>
          <w:rFonts w:hAnsi="宋体"/>
          <w:color w:val="auto"/>
          <w:highlight w:val="none"/>
        </w:rPr>
        <w:fldChar w:fldCharType="begin"/>
      </w:r>
      <w:r>
        <w:rPr>
          <w:rFonts w:hAnsi="宋体"/>
          <w:color w:val="auto"/>
          <w:highlight w:val="none"/>
        </w:rPr>
        <w:instrText xml:space="preserve"> TOC \o "1-3" \h \z \u </w:instrText>
      </w:r>
      <w:r>
        <w:rPr>
          <w:rFonts w:hAnsi="宋体"/>
          <w:color w:val="auto"/>
          <w:highlight w:val="none"/>
        </w:rPr>
        <w:fldChar w:fldCharType="separate"/>
      </w:r>
      <w:r>
        <w:rPr>
          <w:rFonts w:hAnsi="宋体"/>
          <w:color w:val="auto"/>
          <w:highlight w:val="none"/>
        </w:rPr>
        <w:fldChar w:fldCharType="begin"/>
      </w:r>
      <w:r>
        <w:rPr>
          <w:rFonts w:hAnsi="宋体"/>
          <w:highlight w:val="none"/>
        </w:rPr>
        <w:instrText xml:space="preserve"> HYPERLINK \l _Toc13735 </w:instrText>
      </w:r>
      <w:r>
        <w:rPr>
          <w:rFonts w:hAnsi="宋体"/>
          <w:highlight w:val="none"/>
        </w:rPr>
        <w:fldChar w:fldCharType="separate"/>
      </w:r>
      <w:r>
        <w:rPr>
          <w:rFonts w:hint="eastAsia" w:ascii="黑体" w:hAnsi="黑体"/>
          <w:highlight w:val="none"/>
        </w:rPr>
        <w:t>1  总则</w:t>
      </w:r>
      <w:r>
        <w:rPr>
          <w:highlight w:val="none"/>
        </w:rPr>
        <w:tab/>
      </w:r>
      <w:r>
        <w:rPr>
          <w:highlight w:val="none"/>
        </w:rPr>
        <w:fldChar w:fldCharType="begin"/>
      </w:r>
      <w:r>
        <w:rPr>
          <w:highlight w:val="none"/>
        </w:rPr>
        <w:instrText xml:space="preserve"> PAGEREF _Toc13735 \h </w:instrText>
      </w:r>
      <w:r>
        <w:rPr>
          <w:highlight w:val="none"/>
        </w:rPr>
        <w:fldChar w:fldCharType="separate"/>
      </w:r>
      <w:r>
        <w:rPr>
          <w:highlight w:val="none"/>
        </w:rPr>
        <w:t>5</w:t>
      </w:r>
      <w:r>
        <w:rPr>
          <w:highlight w:val="none"/>
        </w:rPr>
        <w:fldChar w:fldCharType="end"/>
      </w:r>
      <w:r>
        <w:rPr>
          <w:rFonts w:hAnsi="宋体"/>
          <w:color w:val="auto"/>
          <w:highlight w:val="none"/>
        </w:rPr>
        <w:fldChar w:fldCharType="end"/>
      </w:r>
    </w:p>
    <w:p w14:paraId="2D534FDC">
      <w:pPr>
        <w:pStyle w:val="10"/>
        <w:tabs>
          <w:tab w:val="right" w:leader="dot" w:pos="9355"/>
          <w:tab w:val="clear" w:pos="9344"/>
        </w:tabs>
        <w:rPr>
          <w:highlight w:val="none"/>
        </w:rPr>
      </w:pPr>
      <w:r>
        <w:rPr>
          <w:rFonts w:hAnsi="宋体"/>
          <w:color w:val="auto"/>
          <w:highlight w:val="none"/>
        </w:rPr>
        <w:fldChar w:fldCharType="begin"/>
      </w:r>
      <w:r>
        <w:rPr>
          <w:rFonts w:hAnsi="宋体"/>
          <w:highlight w:val="none"/>
        </w:rPr>
        <w:instrText xml:space="preserve"> HYPERLINK \l _Toc24992 </w:instrText>
      </w:r>
      <w:r>
        <w:rPr>
          <w:rFonts w:hAnsi="宋体"/>
          <w:highlight w:val="none"/>
        </w:rPr>
        <w:fldChar w:fldCharType="separate"/>
      </w:r>
      <w:r>
        <w:rPr>
          <w:rFonts w:hint="eastAsia" w:ascii="黑体" w:hAnsi="黑体"/>
          <w:highlight w:val="none"/>
        </w:rPr>
        <w:t>2  术语</w:t>
      </w:r>
      <w:r>
        <w:rPr>
          <w:highlight w:val="none"/>
        </w:rPr>
        <w:tab/>
      </w:r>
      <w:r>
        <w:rPr>
          <w:highlight w:val="none"/>
        </w:rPr>
        <w:fldChar w:fldCharType="begin"/>
      </w:r>
      <w:r>
        <w:rPr>
          <w:highlight w:val="none"/>
        </w:rPr>
        <w:instrText xml:space="preserve"> PAGEREF _Toc24992 \h </w:instrText>
      </w:r>
      <w:r>
        <w:rPr>
          <w:highlight w:val="none"/>
        </w:rPr>
        <w:fldChar w:fldCharType="separate"/>
      </w:r>
      <w:r>
        <w:rPr>
          <w:highlight w:val="none"/>
        </w:rPr>
        <w:t>6</w:t>
      </w:r>
      <w:r>
        <w:rPr>
          <w:highlight w:val="none"/>
        </w:rPr>
        <w:fldChar w:fldCharType="end"/>
      </w:r>
      <w:r>
        <w:rPr>
          <w:rFonts w:hAnsi="宋体"/>
          <w:color w:val="auto"/>
          <w:highlight w:val="none"/>
        </w:rPr>
        <w:fldChar w:fldCharType="end"/>
      </w:r>
    </w:p>
    <w:p w14:paraId="05C502E9">
      <w:pPr>
        <w:pStyle w:val="10"/>
        <w:tabs>
          <w:tab w:val="right" w:leader="dot" w:pos="9355"/>
          <w:tab w:val="clear" w:pos="9344"/>
        </w:tabs>
        <w:rPr>
          <w:highlight w:val="none"/>
        </w:rPr>
      </w:pPr>
      <w:r>
        <w:rPr>
          <w:rFonts w:hAnsi="宋体"/>
          <w:color w:val="auto"/>
          <w:highlight w:val="none"/>
        </w:rPr>
        <w:fldChar w:fldCharType="begin"/>
      </w:r>
      <w:r>
        <w:rPr>
          <w:rFonts w:hAnsi="宋体"/>
          <w:highlight w:val="none"/>
        </w:rPr>
        <w:instrText xml:space="preserve"> HYPERLINK \l _Toc4623 </w:instrText>
      </w:r>
      <w:r>
        <w:rPr>
          <w:rFonts w:hAnsi="宋体"/>
          <w:highlight w:val="none"/>
        </w:rPr>
        <w:fldChar w:fldCharType="separate"/>
      </w:r>
      <w:r>
        <w:rPr>
          <w:rFonts w:hint="eastAsia" w:ascii="黑体" w:hAnsi="黑体"/>
          <w:highlight w:val="none"/>
        </w:rPr>
        <w:t>3  基本规定</w:t>
      </w:r>
      <w:r>
        <w:rPr>
          <w:highlight w:val="none"/>
        </w:rPr>
        <w:tab/>
      </w:r>
      <w:r>
        <w:rPr>
          <w:highlight w:val="none"/>
        </w:rPr>
        <w:fldChar w:fldCharType="begin"/>
      </w:r>
      <w:r>
        <w:rPr>
          <w:highlight w:val="none"/>
        </w:rPr>
        <w:instrText xml:space="preserve"> PAGEREF _Toc4623 \h </w:instrText>
      </w:r>
      <w:r>
        <w:rPr>
          <w:highlight w:val="none"/>
        </w:rPr>
        <w:fldChar w:fldCharType="separate"/>
      </w:r>
      <w:r>
        <w:rPr>
          <w:highlight w:val="none"/>
        </w:rPr>
        <w:t>9</w:t>
      </w:r>
      <w:r>
        <w:rPr>
          <w:highlight w:val="none"/>
        </w:rPr>
        <w:fldChar w:fldCharType="end"/>
      </w:r>
      <w:r>
        <w:rPr>
          <w:rFonts w:hAnsi="宋体"/>
          <w:color w:val="auto"/>
          <w:highlight w:val="none"/>
        </w:rPr>
        <w:fldChar w:fldCharType="end"/>
      </w:r>
    </w:p>
    <w:p w14:paraId="265917D2">
      <w:pPr>
        <w:pStyle w:val="10"/>
        <w:tabs>
          <w:tab w:val="right" w:leader="dot" w:pos="9355"/>
          <w:tab w:val="clear" w:pos="9344"/>
        </w:tabs>
        <w:rPr>
          <w:highlight w:val="none"/>
        </w:rPr>
      </w:pPr>
      <w:r>
        <w:rPr>
          <w:rFonts w:hAnsi="宋体"/>
          <w:color w:val="auto"/>
          <w:highlight w:val="none"/>
        </w:rPr>
        <w:fldChar w:fldCharType="begin"/>
      </w:r>
      <w:r>
        <w:rPr>
          <w:rFonts w:hAnsi="宋体"/>
          <w:highlight w:val="none"/>
        </w:rPr>
        <w:instrText xml:space="preserve"> HYPERLINK \l _Toc28749 </w:instrText>
      </w:r>
      <w:r>
        <w:rPr>
          <w:rFonts w:hAnsi="宋体"/>
          <w:highlight w:val="none"/>
        </w:rPr>
        <w:fldChar w:fldCharType="separate"/>
      </w:r>
      <w:r>
        <w:rPr>
          <w:rFonts w:hint="eastAsia" w:ascii="黑体" w:hAnsi="黑体"/>
          <w:highlight w:val="none"/>
        </w:rPr>
        <w:t>4  规划</w:t>
      </w:r>
      <w:r>
        <w:rPr>
          <w:highlight w:val="none"/>
        </w:rPr>
        <w:tab/>
      </w:r>
      <w:r>
        <w:rPr>
          <w:highlight w:val="none"/>
        </w:rPr>
        <w:fldChar w:fldCharType="begin"/>
      </w:r>
      <w:r>
        <w:rPr>
          <w:highlight w:val="none"/>
        </w:rPr>
        <w:instrText xml:space="preserve"> PAGEREF _Toc28749 \h </w:instrText>
      </w:r>
      <w:r>
        <w:rPr>
          <w:highlight w:val="none"/>
        </w:rPr>
        <w:fldChar w:fldCharType="separate"/>
      </w:r>
      <w:r>
        <w:rPr>
          <w:highlight w:val="none"/>
        </w:rPr>
        <w:t>10</w:t>
      </w:r>
      <w:r>
        <w:rPr>
          <w:highlight w:val="none"/>
        </w:rPr>
        <w:fldChar w:fldCharType="end"/>
      </w:r>
      <w:r>
        <w:rPr>
          <w:rFonts w:hAnsi="宋体"/>
          <w:color w:val="auto"/>
          <w:highlight w:val="none"/>
        </w:rPr>
        <w:fldChar w:fldCharType="end"/>
      </w:r>
    </w:p>
    <w:p w14:paraId="3BA7C775">
      <w:pPr>
        <w:pStyle w:val="6"/>
        <w:tabs>
          <w:tab w:val="right" w:leader="dot" w:pos="9355"/>
        </w:tabs>
        <w:rPr>
          <w:highlight w:val="none"/>
        </w:rPr>
      </w:pPr>
      <w:r>
        <w:rPr>
          <w:rFonts w:hAnsi="宋体"/>
          <w:color w:val="auto"/>
          <w:highlight w:val="none"/>
        </w:rPr>
        <w:fldChar w:fldCharType="begin"/>
      </w:r>
      <w:r>
        <w:rPr>
          <w:rFonts w:hAnsi="宋体"/>
          <w:highlight w:val="none"/>
        </w:rPr>
        <w:instrText xml:space="preserve"> HYPERLINK \l _Toc7632 </w:instrText>
      </w:r>
      <w:r>
        <w:rPr>
          <w:rFonts w:hAnsi="宋体"/>
          <w:highlight w:val="none"/>
        </w:rPr>
        <w:fldChar w:fldCharType="separate"/>
      </w:r>
      <w:r>
        <w:rPr>
          <w:rFonts w:hint="eastAsia" w:ascii="黑体" w:hAnsi="黑体" w:cs="黑体"/>
          <w:szCs w:val="21"/>
          <w:highlight w:val="none"/>
        </w:rPr>
        <w:t>4.1 一般规定</w:t>
      </w:r>
      <w:r>
        <w:rPr>
          <w:highlight w:val="none"/>
        </w:rPr>
        <w:tab/>
      </w:r>
      <w:r>
        <w:rPr>
          <w:highlight w:val="none"/>
        </w:rPr>
        <w:fldChar w:fldCharType="begin"/>
      </w:r>
      <w:r>
        <w:rPr>
          <w:highlight w:val="none"/>
        </w:rPr>
        <w:instrText xml:space="preserve"> PAGEREF _Toc7632 \h </w:instrText>
      </w:r>
      <w:r>
        <w:rPr>
          <w:highlight w:val="none"/>
        </w:rPr>
        <w:fldChar w:fldCharType="separate"/>
      </w:r>
      <w:r>
        <w:rPr>
          <w:highlight w:val="none"/>
        </w:rPr>
        <w:t>10</w:t>
      </w:r>
      <w:r>
        <w:rPr>
          <w:highlight w:val="none"/>
        </w:rPr>
        <w:fldChar w:fldCharType="end"/>
      </w:r>
      <w:r>
        <w:rPr>
          <w:rFonts w:hAnsi="宋体"/>
          <w:color w:val="auto"/>
          <w:highlight w:val="none"/>
        </w:rPr>
        <w:fldChar w:fldCharType="end"/>
      </w:r>
    </w:p>
    <w:p w14:paraId="41B46E62">
      <w:pPr>
        <w:pStyle w:val="6"/>
        <w:tabs>
          <w:tab w:val="right" w:leader="dot" w:pos="9355"/>
        </w:tabs>
        <w:rPr>
          <w:highlight w:val="none"/>
        </w:rPr>
      </w:pPr>
      <w:r>
        <w:rPr>
          <w:rFonts w:hAnsi="宋体"/>
          <w:color w:val="auto"/>
          <w:highlight w:val="none"/>
        </w:rPr>
        <w:fldChar w:fldCharType="begin"/>
      </w:r>
      <w:r>
        <w:rPr>
          <w:rFonts w:hAnsi="宋体"/>
          <w:highlight w:val="none"/>
        </w:rPr>
        <w:instrText xml:space="preserve"> HYPERLINK \l _Toc6724 </w:instrText>
      </w:r>
      <w:r>
        <w:rPr>
          <w:rFonts w:hAnsi="宋体"/>
          <w:highlight w:val="none"/>
        </w:rPr>
        <w:fldChar w:fldCharType="separate"/>
      </w:r>
      <w:r>
        <w:rPr>
          <w:rFonts w:hint="eastAsia" w:ascii="黑体" w:hAnsi="黑体" w:cs="黑体"/>
          <w:szCs w:val="21"/>
          <w:highlight w:val="none"/>
        </w:rPr>
        <w:t>4.2 平面布局</w:t>
      </w:r>
      <w:r>
        <w:rPr>
          <w:highlight w:val="none"/>
        </w:rPr>
        <w:tab/>
      </w:r>
      <w:r>
        <w:rPr>
          <w:highlight w:val="none"/>
        </w:rPr>
        <w:fldChar w:fldCharType="begin"/>
      </w:r>
      <w:r>
        <w:rPr>
          <w:highlight w:val="none"/>
        </w:rPr>
        <w:instrText xml:space="preserve"> PAGEREF _Toc6724 \h </w:instrText>
      </w:r>
      <w:r>
        <w:rPr>
          <w:highlight w:val="none"/>
        </w:rPr>
        <w:fldChar w:fldCharType="separate"/>
      </w:r>
      <w:r>
        <w:rPr>
          <w:highlight w:val="none"/>
        </w:rPr>
        <w:t>10</w:t>
      </w:r>
      <w:r>
        <w:rPr>
          <w:highlight w:val="none"/>
        </w:rPr>
        <w:fldChar w:fldCharType="end"/>
      </w:r>
      <w:r>
        <w:rPr>
          <w:rFonts w:hAnsi="宋体"/>
          <w:color w:val="auto"/>
          <w:highlight w:val="none"/>
        </w:rPr>
        <w:fldChar w:fldCharType="end"/>
      </w:r>
    </w:p>
    <w:p w14:paraId="7F355381">
      <w:pPr>
        <w:pStyle w:val="6"/>
        <w:tabs>
          <w:tab w:val="right" w:leader="dot" w:pos="9355"/>
        </w:tabs>
        <w:rPr>
          <w:highlight w:val="none"/>
        </w:rPr>
      </w:pPr>
      <w:r>
        <w:rPr>
          <w:rFonts w:hAnsi="宋体"/>
          <w:color w:val="auto"/>
          <w:highlight w:val="none"/>
        </w:rPr>
        <w:fldChar w:fldCharType="begin"/>
      </w:r>
      <w:r>
        <w:rPr>
          <w:rFonts w:hAnsi="宋体"/>
          <w:highlight w:val="none"/>
        </w:rPr>
        <w:instrText xml:space="preserve"> HYPERLINK \l _Toc15583 </w:instrText>
      </w:r>
      <w:r>
        <w:rPr>
          <w:rFonts w:hAnsi="宋体"/>
          <w:highlight w:val="none"/>
        </w:rPr>
        <w:fldChar w:fldCharType="separate"/>
      </w:r>
      <w:r>
        <w:rPr>
          <w:rFonts w:hint="eastAsia" w:ascii="黑体" w:hAnsi="黑体" w:cs="黑体"/>
          <w:szCs w:val="21"/>
          <w:highlight w:val="none"/>
        </w:rPr>
        <w:t>4.3 断面</w:t>
      </w:r>
      <w:r>
        <w:rPr>
          <w:highlight w:val="none"/>
        </w:rPr>
        <w:tab/>
      </w:r>
      <w:r>
        <w:rPr>
          <w:highlight w:val="none"/>
        </w:rPr>
        <w:fldChar w:fldCharType="begin"/>
      </w:r>
      <w:r>
        <w:rPr>
          <w:highlight w:val="none"/>
        </w:rPr>
        <w:instrText xml:space="preserve"> PAGEREF _Toc15583 \h </w:instrText>
      </w:r>
      <w:r>
        <w:rPr>
          <w:highlight w:val="none"/>
        </w:rPr>
        <w:fldChar w:fldCharType="separate"/>
      </w:r>
      <w:r>
        <w:rPr>
          <w:highlight w:val="none"/>
        </w:rPr>
        <w:t>11</w:t>
      </w:r>
      <w:r>
        <w:rPr>
          <w:highlight w:val="none"/>
        </w:rPr>
        <w:fldChar w:fldCharType="end"/>
      </w:r>
      <w:r>
        <w:rPr>
          <w:rFonts w:hAnsi="宋体"/>
          <w:color w:val="auto"/>
          <w:highlight w:val="none"/>
        </w:rPr>
        <w:fldChar w:fldCharType="end"/>
      </w:r>
    </w:p>
    <w:p w14:paraId="1B3403C3">
      <w:pPr>
        <w:pStyle w:val="6"/>
        <w:tabs>
          <w:tab w:val="right" w:leader="dot" w:pos="9355"/>
        </w:tabs>
        <w:rPr>
          <w:highlight w:val="none"/>
        </w:rPr>
      </w:pPr>
      <w:r>
        <w:rPr>
          <w:rFonts w:hAnsi="宋体"/>
          <w:color w:val="auto"/>
          <w:highlight w:val="none"/>
        </w:rPr>
        <w:fldChar w:fldCharType="begin"/>
      </w:r>
      <w:r>
        <w:rPr>
          <w:rFonts w:hAnsi="宋体"/>
          <w:highlight w:val="none"/>
        </w:rPr>
        <w:instrText xml:space="preserve"> HYPERLINK \l _Toc22611 </w:instrText>
      </w:r>
      <w:r>
        <w:rPr>
          <w:rFonts w:hAnsi="宋体"/>
          <w:highlight w:val="none"/>
        </w:rPr>
        <w:fldChar w:fldCharType="separate"/>
      </w:r>
      <w:r>
        <w:rPr>
          <w:rFonts w:hint="eastAsia" w:ascii="黑体" w:hAnsi="黑体" w:cs="黑体"/>
          <w:szCs w:val="21"/>
          <w:highlight w:val="none"/>
        </w:rPr>
        <w:t>4.4 位置</w:t>
      </w:r>
      <w:r>
        <w:rPr>
          <w:highlight w:val="none"/>
        </w:rPr>
        <w:tab/>
      </w:r>
      <w:r>
        <w:rPr>
          <w:highlight w:val="none"/>
        </w:rPr>
        <w:fldChar w:fldCharType="begin"/>
      </w:r>
      <w:r>
        <w:rPr>
          <w:highlight w:val="none"/>
        </w:rPr>
        <w:instrText xml:space="preserve"> PAGEREF _Toc22611 \h </w:instrText>
      </w:r>
      <w:r>
        <w:rPr>
          <w:highlight w:val="none"/>
        </w:rPr>
        <w:fldChar w:fldCharType="separate"/>
      </w:r>
      <w:r>
        <w:rPr>
          <w:highlight w:val="none"/>
        </w:rPr>
        <w:t>11</w:t>
      </w:r>
      <w:r>
        <w:rPr>
          <w:highlight w:val="none"/>
        </w:rPr>
        <w:fldChar w:fldCharType="end"/>
      </w:r>
      <w:r>
        <w:rPr>
          <w:rFonts w:hAnsi="宋体"/>
          <w:color w:val="auto"/>
          <w:highlight w:val="none"/>
        </w:rPr>
        <w:fldChar w:fldCharType="end"/>
      </w:r>
    </w:p>
    <w:p w14:paraId="0CBB591D">
      <w:pPr>
        <w:pStyle w:val="10"/>
        <w:tabs>
          <w:tab w:val="right" w:leader="dot" w:pos="9355"/>
          <w:tab w:val="clear" w:pos="9344"/>
        </w:tabs>
        <w:rPr>
          <w:highlight w:val="none"/>
        </w:rPr>
      </w:pPr>
      <w:r>
        <w:rPr>
          <w:rFonts w:hAnsi="宋体"/>
          <w:color w:val="auto"/>
          <w:highlight w:val="none"/>
        </w:rPr>
        <w:fldChar w:fldCharType="begin"/>
      </w:r>
      <w:r>
        <w:rPr>
          <w:rFonts w:hAnsi="宋体"/>
          <w:highlight w:val="none"/>
        </w:rPr>
        <w:instrText xml:space="preserve"> HYPERLINK \l _Toc23193 </w:instrText>
      </w:r>
      <w:r>
        <w:rPr>
          <w:rFonts w:hAnsi="宋体"/>
          <w:highlight w:val="none"/>
        </w:rPr>
        <w:fldChar w:fldCharType="separate"/>
      </w:r>
      <w:r>
        <w:rPr>
          <w:rFonts w:hint="eastAsia" w:ascii="黑体" w:hAnsi="黑体"/>
          <w:highlight w:val="none"/>
        </w:rPr>
        <w:t>5 总体设计</w:t>
      </w:r>
      <w:r>
        <w:rPr>
          <w:highlight w:val="none"/>
        </w:rPr>
        <w:tab/>
      </w:r>
      <w:r>
        <w:rPr>
          <w:highlight w:val="none"/>
        </w:rPr>
        <w:fldChar w:fldCharType="begin"/>
      </w:r>
      <w:r>
        <w:rPr>
          <w:highlight w:val="none"/>
        </w:rPr>
        <w:instrText xml:space="preserve"> PAGEREF _Toc23193 \h </w:instrText>
      </w:r>
      <w:r>
        <w:rPr>
          <w:highlight w:val="none"/>
        </w:rPr>
        <w:fldChar w:fldCharType="separate"/>
      </w:r>
      <w:r>
        <w:rPr>
          <w:highlight w:val="none"/>
        </w:rPr>
        <w:t>12</w:t>
      </w:r>
      <w:r>
        <w:rPr>
          <w:highlight w:val="none"/>
        </w:rPr>
        <w:fldChar w:fldCharType="end"/>
      </w:r>
      <w:r>
        <w:rPr>
          <w:rFonts w:hAnsi="宋体"/>
          <w:color w:val="auto"/>
          <w:highlight w:val="none"/>
        </w:rPr>
        <w:fldChar w:fldCharType="end"/>
      </w:r>
    </w:p>
    <w:p w14:paraId="2C7A5535">
      <w:pPr>
        <w:pStyle w:val="6"/>
        <w:tabs>
          <w:tab w:val="right" w:leader="dot" w:pos="9355"/>
        </w:tabs>
        <w:rPr>
          <w:highlight w:val="none"/>
        </w:rPr>
      </w:pPr>
      <w:r>
        <w:rPr>
          <w:rFonts w:hAnsi="宋体"/>
          <w:color w:val="auto"/>
          <w:highlight w:val="none"/>
        </w:rPr>
        <w:fldChar w:fldCharType="begin"/>
      </w:r>
      <w:r>
        <w:rPr>
          <w:rFonts w:hAnsi="宋体"/>
          <w:highlight w:val="none"/>
        </w:rPr>
        <w:instrText xml:space="preserve"> HYPERLINK \l _Toc31380 </w:instrText>
      </w:r>
      <w:r>
        <w:rPr>
          <w:rFonts w:hAnsi="宋体"/>
          <w:highlight w:val="none"/>
        </w:rPr>
        <w:fldChar w:fldCharType="separate"/>
      </w:r>
      <w:r>
        <w:rPr>
          <w:rFonts w:hint="eastAsia" w:ascii="黑体" w:hAnsi="黑体" w:cs="黑体"/>
          <w:szCs w:val="21"/>
          <w:highlight w:val="none"/>
        </w:rPr>
        <w:t>5.1</w:t>
      </w:r>
      <w:r>
        <w:rPr>
          <w:rFonts w:hint="eastAsia" w:ascii="黑体" w:hAnsi="黑体" w:cs="黑体"/>
          <w:szCs w:val="21"/>
          <w:highlight w:val="none"/>
          <w:lang w:val="en-US" w:eastAsia="zh-CN"/>
        </w:rPr>
        <w:t xml:space="preserve"> </w:t>
      </w:r>
      <w:r>
        <w:rPr>
          <w:rFonts w:hint="eastAsia" w:ascii="黑体" w:hAnsi="黑体" w:cs="黑体"/>
          <w:szCs w:val="21"/>
          <w:highlight w:val="none"/>
        </w:rPr>
        <w:t>一般规定</w:t>
      </w:r>
      <w:r>
        <w:rPr>
          <w:highlight w:val="none"/>
        </w:rPr>
        <w:tab/>
      </w:r>
      <w:r>
        <w:rPr>
          <w:highlight w:val="none"/>
        </w:rPr>
        <w:fldChar w:fldCharType="begin"/>
      </w:r>
      <w:r>
        <w:rPr>
          <w:highlight w:val="none"/>
        </w:rPr>
        <w:instrText xml:space="preserve"> PAGEREF _Toc31380 \h </w:instrText>
      </w:r>
      <w:r>
        <w:rPr>
          <w:highlight w:val="none"/>
        </w:rPr>
        <w:fldChar w:fldCharType="separate"/>
      </w:r>
      <w:r>
        <w:rPr>
          <w:highlight w:val="none"/>
        </w:rPr>
        <w:t>12</w:t>
      </w:r>
      <w:r>
        <w:rPr>
          <w:highlight w:val="none"/>
        </w:rPr>
        <w:fldChar w:fldCharType="end"/>
      </w:r>
      <w:r>
        <w:rPr>
          <w:rFonts w:hAnsi="宋体"/>
          <w:color w:val="auto"/>
          <w:highlight w:val="none"/>
        </w:rPr>
        <w:fldChar w:fldCharType="end"/>
      </w:r>
    </w:p>
    <w:p w14:paraId="658670FB">
      <w:pPr>
        <w:pStyle w:val="6"/>
        <w:tabs>
          <w:tab w:val="right" w:leader="dot" w:pos="9355"/>
        </w:tabs>
        <w:rPr>
          <w:highlight w:val="none"/>
        </w:rPr>
      </w:pPr>
      <w:r>
        <w:rPr>
          <w:rFonts w:hAnsi="宋体"/>
          <w:color w:val="auto"/>
          <w:highlight w:val="none"/>
        </w:rPr>
        <w:fldChar w:fldCharType="begin"/>
      </w:r>
      <w:r>
        <w:rPr>
          <w:rFonts w:hAnsi="宋体"/>
          <w:highlight w:val="none"/>
        </w:rPr>
        <w:instrText xml:space="preserve"> HYPERLINK \l _Toc30767 </w:instrText>
      </w:r>
      <w:r>
        <w:rPr>
          <w:rFonts w:hAnsi="宋体"/>
          <w:highlight w:val="none"/>
        </w:rPr>
        <w:fldChar w:fldCharType="separate"/>
      </w:r>
      <w:r>
        <w:rPr>
          <w:rFonts w:hint="eastAsia" w:ascii="黑体" w:hAnsi="黑体" w:cs="黑体"/>
          <w:szCs w:val="21"/>
          <w:highlight w:val="none"/>
        </w:rPr>
        <w:t>5.2</w:t>
      </w:r>
      <w:r>
        <w:rPr>
          <w:rFonts w:hint="eastAsia" w:ascii="黑体" w:hAnsi="黑体" w:cs="黑体"/>
          <w:szCs w:val="21"/>
          <w:highlight w:val="none"/>
          <w:lang w:val="en-US" w:eastAsia="zh-CN"/>
        </w:rPr>
        <w:t xml:space="preserve"> </w:t>
      </w:r>
      <w:r>
        <w:rPr>
          <w:rFonts w:hint="eastAsia" w:ascii="黑体" w:hAnsi="黑体" w:cs="黑体"/>
          <w:szCs w:val="21"/>
          <w:highlight w:val="none"/>
        </w:rPr>
        <w:t>空间设计</w:t>
      </w:r>
      <w:r>
        <w:rPr>
          <w:highlight w:val="none"/>
        </w:rPr>
        <w:tab/>
      </w:r>
      <w:r>
        <w:rPr>
          <w:highlight w:val="none"/>
        </w:rPr>
        <w:fldChar w:fldCharType="begin"/>
      </w:r>
      <w:r>
        <w:rPr>
          <w:highlight w:val="none"/>
        </w:rPr>
        <w:instrText xml:space="preserve"> PAGEREF _Toc30767 \h </w:instrText>
      </w:r>
      <w:r>
        <w:rPr>
          <w:highlight w:val="none"/>
        </w:rPr>
        <w:fldChar w:fldCharType="separate"/>
      </w:r>
      <w:r>
        <w:rPr>
          <w:highlight w:val="none"/>
        </w:rPr>
        <w:t>12</w:t>
      </w:r>
      <w:r>
        <w:rPr>
          <w:highlight w:val="none"/>
        </w:rPr>
        <w:fldChar w:fldCharType="end"/>
      </w:r>
      <w:r>
        <w:rPr>
          <w:rFonts w:hAnsi="宋体"/>
          <w:color w:val="auto"/>
          <w:highlight w:val="none"/>
        </w:rPr>
        <w:fldChar w:fldCharType="end"/>
      </w:r>
    </w:p>
    <w:p w14:paraId="3C2C0623">
      <w:pPr>
        <w:pStyle w:val="6"/>
        <w:tabs>
          <w:tab w:val="right" w:leader="dot" w:pos="9355"/>
        </w:tabs>
        <w:rPr>
          <w:highlight w:val="none"/>
        </w:rPr>
      </w:pPr>
      <w:r>
        <w:rPr>
          <w:rFonts w:hAnsi="宋体"/>
          <w:color w:val="auto"/>
          <w:highlight w:val="none"/>
        </w:rPr>
        <w:fldChar w:fldCharType="begin"/>
      </w:r>
      <w:r>
        <w:rPr>
          <w:rFonts w:hAnsi="宋体"/>
          <w:highlight w:val="none"/>
        </w:rPr>
        <w:instrText xml:space="preserve"> HYPERLINK \l _Toc12521 </w:instrText>
      </w:r>
      <w:r>
        <w:rPr>
          <w:rFonts w:hAnsi="宋体"/>
          <w:highlight w:val="none"/>
        </w:rPr>
        <w:fldChar w:fldCharType="separate"/>
      </w:r>
      <w:r>
        <w:rPr>
          <w:rFonts w:hint="eastAsia" w:ascii="黑体" w:hAnsi="黑体" w:cs="黑体"/>
          <w:szCs w:val="21"/>
          <w:highlight w:val="none"/>
        </w:rPr>
        <w:t>5.3</w:t>
      </w:r>
      <w:r>
        <w:rPr>
          <w:rFonts w:hint="eastAsia" w:ascii="黑体" w:hAnsi="黑体" w:cs="黑体"/>
          <w:szCs w:val="21"/>
          <w:highlight w:val="none"/>
          <w:lang w:val="en-US" w:eastAsia="zh-CN"/>
        </w:rPr>
        <w:t xml:space="preserve"> </w:t>
      </w:r>
      <w:r>
        <w:rPr>
          <w:rFonts w:hint="eastAsia" w:ascii="黑体" w:hAnsi="黑体" w:cs="黑体"/>
          <w:szCs w:val="21"/>
          <w:highlight w:val="none"/>
        </w:rPr>
        <w:t>断面设计</w:t>
      </w:r>
      <w:r>
        <w:rPr>
          <w:highlight w:val="none"/>
        </w:rPr>
        <w:tab/>
      </w:r>
      <w:r>
        <w:rPr>
          <w:highlight w:val="none"/>
        </w:rPr>
        <w:fldChar w:fldCharType="begin"/>
      </w:r>
      <w:r>
        <w:rPr>
          <w:highlight w:val="none"/>
        </w:rPr>
        <w:instrText xml:space="preserve"> PAGEREF _Toc12521 \h </w:instrText>
      </w:r>
      <w:r>
        <w:rPr>
          <w:highlight w:val="none"/>
        </w:rPr>
        <w:fldChar w:fldCharType="separate"/>
      </w:r>
      <w:r>
        <w:rPr>
          <w:highlight w:val="none"/>
        </w:rPr>
        <w:t>13</w:t>
      </w:r>
      <w:r>
        <w:rPr>
          <w:highlight w:val="none"/>
        </w:rPr>
        <w:fldChar w:fldCharType="end"/>
      </w:r>
      <w:r>
        <w:rPr>
          <w:rFonts w:hAnsi="宋体"/>
          <w:color w:val="auto"/>
          <w:highlight w:val="none"/>
        </w:rPr>
        <w:fldChar w:fldCharType="end"/>
      </w:r>
    </w:p>
    <w:p w14:paraId="4C7CDCB5">
      <w:pPr>
        <w:pStyle w:val="6"/>
        <w:tabs>
          <w:tab w:val="right" w:leader="dot" w:pos="9355"/>
        </w:tabs>
        <w:rPr>
          <w:highlight w:val="none"/>
        </w:rPr>
      </w:pPr>
      <w:r>
        <w:rPr>
          <w:rFonts w:hAnsi="宋体"/>
          <w:color w:val="auto"/>
          <w:highlight w:val="none"/>
        </w:rPr>
        <w:fldChar w:fldCharType="begin"/>
      </w:r>
      <w:r>
        <w:rPr>
          <w:rFonts w:hAnsi="宋体"/>
          <w:highlight w:val="none"/>
        </w:rPr>
        <w:instrText xml:space="preserve"> HYPERLINK \l _Toc21388 </w:instrText>
      </w:r>
      <w:r>
        <w:rPr>
          <w:rFonts w:hAnsi="宋体"/>
          <w:highlight w:val="none"/>
        </w:rPr>
        <w:fldChar w:fldCharType="separate"/>
      </w:r>
      <w:r>
        <w:rPr>
          <w:rFonts w:hint="eastAsia" w:ascii="黑体" w:hAnsi="黑体" w:cs="黑体"/>
          <w:szCs w:val="21"/>
          <w:highlight w:val="none"/>
        </w:rPr>
        <w:t>5.4</w:t>
      </w:r>
      <w:r>
        <w:rPr>
          <w:rFonts w:hint="eastAsia" w:ascii="黑体" w:hAnsi="黑体" w:cs="黑体"/>
          <w:szCs w:val="21"/>
          <w:highlight w:val="none"/>
          <w:lang w:val="en-US" w:eastAsia="zh-CN"/>
        </w:rPr>
        <w:t xml:space="preserve"> </w:t>
      </w:r>
      <w:r>
        <w:rPr>
          <w:rFonts w:hint="eastAsia" w:ascii="黑体" w:hAnsi="黑体" w:cs="黑体"/>
          <w:szCs w:val="21"/>
          <w:highlight w:val="none"/>
        </w:rPr>
        <w:t>节点设计</w:t>
      </w:r>
      <w:r>
        <w:rPr>
          <w:highlight w:val="none"/>
        </w:rPr>
        <w:tab/>
      </w:r>
      <w:r>
        <w:rPr>
          <w:highlight w:val="none"/>
        </w:rPr>
        <w:fldChar w:fldCharType="begin"/>
      </w:r>
      <w:r>
        <w:rPr>
          <w:highlight w:val="none"/>
        </w:rPr>
        <w:instrText xml:space="preserve"> PAGEREF _Toc21388 \h </w:instrText>
      </w:r>
      <w:r>
        <w:rPr>
          <w:highlight w:val="none"/>
        </w:rPr>
        <w:fldChar w:fldCharType="separate"/>
      </w:r>
      <w:r>
        <w:rPr>
          <w:highlight w:val="none"/>
        </w:rPr>
        <w:t>15</w:t>
      </w:r>
      <w:r>
        <w:rPr>
          <w:highlight w:val="none"/>
        </w:rPr>
        <w:fldChar w:fldCharType="end"/>
      </w:r>
      <w:r>
        <w:rPr>
          <w:rFonts w:hAnsi="宋体"/>
          <w:color w:val="auto"/>
          <w:highlight w:val="none"/>
        </w:rPr>
        <w:fldChar w:fldCharType="end"/>
      </w:r>
    </w:p>
    <w:p w14:paraId="685A8A28">
      <w:pPr>
        <w:pStyle w:val="10"/>
        <w:tabs>
          <w:tab w:val="right" w:leader="dot" w:pos="9355"/>
          <w:tab w:val="clear" w:pos="9344"/>
        </w:tabs>
        <w:rPr>
          <w:highlight w:val="none"/>
        </w:rPr>
      </w:pPr>
      <w:r>
        <w:rPr>
          <w:rFonts w:hAnsi="宋体"/>
          <w:color w:val="auto"/>
          <w:highlight w:val="none"/>
        </w:rPr>
        <w:fldChar w:fldCharType="begin"/>
      </w:r>
      <w:r>
        <w:rPr>
          <w:rFonts w:hAnsi="宋体"/>
          <w:highlight w:val="none"/>
        </w:rPr>
        <w:instrText xml:space="preserve"> HYPERLINK \l _Toc8411 </w:instrText>
      </w:r>
      <w:r>
        <w:rPr>
          <w:rFonts w:hAnsi="宋体"/>
          <w:highlight w:val="none"/>
        </w:rPr>
        <w:fldChar w:fldCharType="separate"/>
      </w:r>
      <w:r>
        <w:rPr>
          <w:rFonts w:hint="eastAsia" w:ascii="黑体" w:hAnsi="黑体"/>
          <w:highlight w:val="none"/>
        </w:rPr>
        <w:t>6 管线设计</w:t>
      </w:r>
      <w:r>
        <w:rPr>
          <w:highlight w:val="none"/>
        </w:rPr>
        <w:tab/>
      </w:r>
      <w:r>
        <w:rPr>
          <w:highlight w:val="none"/>
        </w:rPr>
        <w:fldChar w:fldCharType="begin"/>
      </w:r>
      <w:r>
        <w:rPr>
          <w:highlight w:val="none"/>
        </w:rPr>
        <w:instrText xml:space="preserve"> PAGEREF _Toc8411 \h </w:instrText>
      </w:r>
      <w:r>
        <w:rPr>
          <w:highlight w:val="none"/>
        </w:rPr>
        <w:fldChar w:fldCharType="separate"/>
      </w:r>
      <w:r>
        <w:rPr>
          <w:highlight w:val="none"/>
        </w:rPr>
        <w:t>16</w:t>
      </w:r>
      <w:r>
        <w:rPr>
          <w:highlight w:val="none"/>
        </w:rPr>
        <w:fldChar w:fldCharType="end"/>
      </w:r>
      <w:r>
        <w:rPr>
          <w:rFonts w:hAnsi="宋体"/>
          <w:color w:val="auto"/>
          <w:highlight w:val="none"/>
        </w:rPr>
        <w:fldChar w:fldCharType="end"/>
      </w:r>
    </w:p>
    <w:p w14:paraId="0BAFCBAF">
      <w:pPr>
        <w:pStyle w:val="6"/>
        <w:tabs>
          <w:tab w:val="right" w:leader="dot" w:pos="9355"/>
        </w:tabs>
        <w:rPr>
          <w:highlight w:val="none"/>
        </w:rPr>
      </w:pPr>
      <w:r>
        <w:rPr>
          <w:rFonts w:hAnsi="宋体"/>
          <w:color w:val="auto"/>
          <w:highlight w:val="none"/>
        </w:rPr>
        <w:fldChar w:fldCharType="begin"/>
      </w:r>
      <w:r>
        <w:rPr>
          <w:rFonts w:hAnsi="宋体"/>
          <w:highlight w:val="none"/>
        </w:rPr>
        <w:instrText xml:space="preserve"> HYPERLINK \l _Toc1595 </w:instrText>
      </w:r>
      <w:r>
        <w:rPr>
          <w:rFonts w:hAnsi="宋体"/>
          <w:highlight w:val="none"/>
        </w:rPr>
        <w:fldChar w:fldCharType="separate"/>
      </w:r>
      <w:r>
        <w:rPr>
          <w:rFonts w:hint="eastAsia" w:ascii="黑体" w:hAnsi="黑体" w:cs="黑体"/>
          <w:szCs w:val="21"/>
          <w:highlight w:val="none"/>
        </w:rPr>
        <w:t>6.1</w:t>
      </w:r>
      <w:r>
        <w:rPr>
          <w:rFonts w:hint="eastAsia" w:ascii="黑体" w:hAnsi="黑体" w:cs="黑体"/>
          <w:szCs w:val="21"/>
          <w:highlight w:val="none"/>
          <w:lang w:val="en-US" w:eastAsia="zh-CN"/>
        </w:rPr>
        <w:t xml:space="preserve"> </w:t>
      </w:r>
      <w:r>
        <w:rPr>
          <w:rFonts w:hint="eastAsia" w:ascii="黑体" w:hAnsi="黑体" w:cs="黑体"/>
          <w:szCs w:val="21"/>
          <w:highlight w:val="none"/>
        </w:rPr>
        <w:t>-般规定</w:t>
      </w:r>
      <w:r>
        <w:rPr>
          <w:highlight w:val="none"/>
        </w:rPr>
        <w:tab/>
      </w:r>
      <w:r>
        <w:rPr>
          <w:highlight w:val="none"/>
        </w:rPr>
        <w:fldChar w:fldCharType="begin"/>
      </w:r>
      <w:r>
        <w:rPr>
          <w:highlight w:val="none"/>
        </w:rPr>
        <w:instrText xml:space="preserve"> PAGEREF _Toc1595 \h </w:instrText>
      </w:r>
      <w:r>
        <w:rPr>
          <w:highlight w:val="none"/>
        </w:rPr>
        <w:fldChar w:fldCharType="separate"/>
      </w:r>
      <w:r>
        <w:rPr>
          <w:highlight w:val="none"/>
        </w:rPr>
        <w:t>16</w:t>
      </w:r>
      <w:r>
        <w:rPr>
          <w:highlight w:val="none"/>
        </w:rPr>
        <w:fldChar w:fldCharType="end"/>
      </w:r>
      <w:r>
        <w:rPr>
          <w:rFonts w:hAnsi="宋体"/>
          <w:color w:val="auto"/>
          <w:highlight w:val="none"/>
        </w:rPr>
        <w:fldChar w:fldCharType="end"/>
      </w:r>
    </w:p>
    <w:p w14:paraId="2C0457EF">
      <w:pPr>
        <w:pStyle w:val="6"/>
        <w:tabs>
          <w:tab w:val="right" w:leader="dot" w:pos="9355"/>
        </w:tabs>
        <w:rPr>
          <w:highlight w:val="none"/>
        </w:rPr>
      </w:pPr>
      <w:r>
        <w:rPr>
          <w:rFonts w:hAnsi="宋体"/>
          <w:color w:val="auto"/>
          <w:highlight w:val="none"/>
        </w:rPr>
        <w:fldChar w:fldCharType="begin"/>
      </w:r>
      <w:r>
        <w:rPr>
          <w:rFonts w:hAnsi="宋体"/>
          <w:highlight w:val="none"/>
        </w:rPr>
        <w:instrText xml:space="preserve"> HYPERLINK \l _Toc26470 </w:instrText>
      </w:r>
      <w:r>
        <w:rPr>
          <w:rFonts w:hAnsi="宋体"/>
          <w:highlight w:val="none"/>
        </w:rPr>
        <w:fldChar w:fldCharType="separate"/>
      </w:r>
      <w:r>
        <w:rPr>
          <w:rFonts w:hint="eastAsia" w:ascii="黑体" w:hAnsi="黑体" w:cs="黑体"/>
          <w:szCs w:val="21"/>
          <w:highlight w:val="none"/>
        </w:rPr>
        <w:t>6.2 给水、再生水管道</w:t>
      </w:r>
      <w:r>
        <w:rPr>
          <w:highlight w:val="none"/>
        </w:rPr>
        <w:tab/>
      </w:r>
      <w:r>
        <w:rPr>
          <w:highlight w:val="none"/>
        </w:rPr>
        <w:fldChar w:fldCharType="begin"/>
      </w:r>
      <w:r>
        <w:rPr>
          <w:highlight w:val="none"/>
        </w:rPr>
        <w:instrText xml:space="preserve"> PAGEREF _Toc26470 \h </w:instrText>
      </w:r>
      <w:r>
        <w:rPr>
          <w:highlight w:val="none"/>
        </w:rPr>
        <w:fldChar w:fldCharType="separate"/>
      </w:r>
      <w:r>
        <w:rPr>
          <w:highlight w:val="none"/>
        </w:rPr>
        <w:t>16</w:t>
      </w:r>
      <w:r>
        <w:rPr>
          <w:highlight w:val="none"/>
        </w:rPr>
        <w:fldChar w:fldCharType="end"/>
      </w:r>
      <w:r>
        <w:rPr>
          <w:rFonts w:hAnsi="宋体"/>
          <w:color w:val="auto"/>
          <w:highlight w:val="none"/>
        </w:rPr>
        <w:fldChar w:fldCharType="end"/>
      </w:r>
    </w:p>
    <w:p w14:paraId="5E85B1FE">
      <w:pPr>
        <w:pStyle w:val="6"/>
        <w:tabs>
          <w:tab w:val="right" w:leader="dot" w:pos="9355"/>
        </w:tabs>
        <w:rPr>
          <w:highlight w:val="none"/>
        </w:rPr>
      </w:pPr>
      <w:r>
        <w:rPr>
          <w:rFonts w:hAnsi="宋体"/>
          <w:color w:val="auto"/>
          <w:highlight w:val="none"/>
        </w:rPr>
        <w:fldChar w:fldCharType="begin"/>
      </w:r>
      <w:r>
        <w:rPr>
          <w:rFonts w:hAnsi="宋体"/>
          <w:highlight w:val="none"/>
        </w:rPr>
        <w:instrText xml:space="preserve"> HYPERLINK \l _Toc25717 </w:instrText>
      </w:r>
      <w:r>
        <w:rPr>
          <w:rFonts w:hAnsi="宋体"/>
          <w:highlight w:val="none"/>
        </w:rPr>
        <w:fldChar w:fldCharType="separate"/>
      </w:r>
      <w:r>
        <w:rPr>
          <w:rFonts w:hint="eastAsia" w:ascii="黑体" w:hAnsi="黑体" w:cs="黑体"/>
          <w:szCs w:val="21"/>
          <w:highlight w:val="none"/>
          <w:lang w:val="en-US" w:eastAsia="zh-CN"/>
        </w:rPr>
        <w:t xml:space="preserve">6.3 </w:t>
      </w:r>
      <w:r>
        <w:rPr>
          <w:rFonts w:hint="eastAsia" w:ascii="黑体" w:hAnsi="黑体" w:cs="黑体"/>
          <w:szCs w:val="21"/>
          <w:highlight w:val="none"/>
          <w:lang w:eastAsia="zh-CN"/>
        </w:rPr>
        <w:t>排水管渠</w:t>
      </w:r>
      <w:r>
        <w:rPr>
          <w:highlight w:val="none"/>
        </w:rPr>
        <w:tab/>
      </w:r>
      <w:r>
        <w:rPr>
          <w:highlight w:val="none"/>
        </w:rPr>
        <w:fldChar w:fldCharType="begin"/>
      </w:r>
      <w:r>
        <w:rPr>
          <w:highlight w:val="none"/>
        </w:rPr>
        <w:instrText xml:space="preserve"> PAGEREF _Toc25717 \h </w:instrText>
      </w:r>
      <w:r>
        <w:rPr>
          <w:highlight w:val="none"/>
        </w:rPr>
        <w:fldChar w:fldCharType="separate"/>
      </w:r>
      <w:r>
        <w:rPr>
          <w:highlight w:val="none"/>
        </w:rPr>
        <w:t>17</w:t>
      </w:r>
      <w:r>
        <w:rPr>
          <w:highlight w:val="none"/>
        </w:rPr>
        <w:fldChar w:fldCharType="end"/>
      </w:r>
      <w:r>
        <w:rPr>
          <w:rFonts w:hAnsi="宋体"/>
          <w:color w:val="auto"/>
          <w:highlight w:val="none"/>
        </w:rPr>
        <w:fldChar w:fldCharType="end"/>
      </w:r>
    </w:p>
    <w:p w14:paraId="396FBCE9">
      <w:pPr>
        <w:pStyle w:val="6"/>
        <w:tabs>
          <w:tab w:val="right" w:leader="dot" w:pos="9355"/>
        </w:tabs>
        <w:rPr>
          <w:highlight w:val="none"/>
        </w:rPr>
      </w:pPr>
      <w:r>
        <w:rPr>
          <w:rFonts w:hAnsi="宋体"/>
          <w:color w:val="auto"/>
          <w:highlight w:val="none"/>
        </w:rPr>
        <w:fldChar w:fldCharType="begin"/>
      </w:r>
      <w:r>
        <w:rPr>
          <w:rFonts w:hAnsi="宋体"/>
          <w:highlight w:val="none"/>
        </w:rPr>
        <w:instrText xml:space="preserve"> HYPERLINK \l _Toc20036 </w:instrText>
      </w:r>
      <w:r>
        <w:rPr>
          <w:rFonts w:hAnsi="宋体"/>
          <w:highlight w:val="none"/>
        </w:rPr>
        <w:fldChar w:fldCharType="separate"/>
      </w:r>
      <w:r>
        <w:rPr>
          <w:rFonts w:hint="eastAsia" w:ascii="黑体" w:hAnsi="黑体" w:cs="黑体"/>
          <w:szCs w:val="21"/>
          <w:highlight w:val="none"/>
          <w:lang w:val="en-US" w:eastAsia="zh-CN"/>
        </w:rPr>
        <w:t>6.4 热力管道</w:t>
      </w:r>
      <w:r>
        <w:rPr>
          <w:highlight w:val="none"/>
        </w:rPr>
        <w:tab/>
      </w:r>
      <w:r>
        <w:rPr>
          <w:highlight w:val="none"/>
        </w:rPr>
        <w:fldChar w:fldCharType="begin"/>
      </w:r>
      <w:r>
        <w:rPr>
          <w:highlight w:val="none"/>
        </w:rPr>
        <w:instrText xml:space="preserve"> PAGEREF _Toc20036 \h </w:instrText>
      </w:r>
      <w:r>
        <w:rPr>
          <w:highlight w:val="none"/>
        </w:rPr>
        <w:fldChar w:fldCharType="separate"/>
      </w:r>
      <w:r>
        <w:rPr>
          <w:highlight w:val="none"/>
        </w:rPr>
        <w:t>17</w:t>
      </w:r>
      <w:r>
        <w:rPr>
          <w:highlight w:val="none"/>
        </w:rPr>
        <w:fldChar w:fldCharType="end"/>
      </w:r>
      <w:r>
        <w:rPr>
          <w:rFonts w:hAnsi="宋体"/>
          <w:color w:val="auto"/>
          <w:highlight w:val="none"/>
        </w:rPr>
        <w:fldChar w:fldCharType="end"/>
      </w:r>
    </w:p>
    <w:p w14:paraId="126C402E">
      <w:pPr>
        <w:pStyle w:val="6"/>
        <w:tabs>
          <w:tab w:val="right" w:leader="dot" w:pos="9355"/>
        </w:tabs>
        <w:rPr>
          <w:highlight w:val="none"/>
        </w:rPr>
      </w:pPr>
      <w:r>
        <w:rPr>
          <w:rFonts w:hAnsi="宋体"/>
          <w:color w:val="auto"/>
          <w:highlight w:val="none"/>
        </w:rPr>
        <w:fldChar w:fldCharType="begin"/>
      </w:r>
      <w:r>
        <w:rPr>
          <w:rFonts w:hAnsi="宋体"/>
          <w:highlight w:val="none"/>
        </w:rPr>
        <w:instrText xml:space="preserve"> HYPERLINK \l _Toc26063 </w:instrText>
      </w:r>
      <w:r>
        <w:rPr>
          <w:rFonts w:hAnsi="宋体"/>
          <w:highlight w:val="none"/>
        </w:rPr>
        <w:fldChar w:fldCharType="separate"/>
      </w:r>
      <w:r>
        <w:rPr>
          <w:rFonts w:hint="eastAsia" w:ascii="黑体" w:hAnsi="黑体" w:cs="黑体"/>
          <w:szCs w:val="21"/>
          <w:highlight w:val="none"/>
        </w:rPr>
        <w:t>6.</w:t>
      </w:r>
      <w:r>
        <w:rPr>
          <w:rFonts w:hint="eastAsia" w:ascii="黑体" w:hAnsi="黑体" w:cs="黑体"/>
          <w:szCs w:val="21"/>
          <w:highlight w:val="none"/>
          <w:lang w:val="en-US" w:eastAsia="zh-CN"/>
        </w:rPr>
        <w:t>5</w:t>
      </w:r>
      <w:r>
        <w:rPr>
          <w:rFonts w:hint="eastAsia" w:ascii="黑体" w:hAnsi="黑体" w:cs="黑体"/>
          <w:szCs w:val="21"/>
          <w:highlight w:val="none"/>
        </w:rPr>
        <w:t xml:space="preserve"> 电力电缆</w:t>
      </w:r>
      <w:r>
        <w:rPr>
          <w:highlight w:val="none"/>
        </w:rPr>
        <w:tab/>
      </w:r>
      <w:r>
        <w:rPr>
          <w:highlight w:val="none"/>
        </w:rPr>
        <w:fldChar w:fldCharType="begin"/>
      </w:r>
      <w:r>
        <w:rPr>
          <w:highlight w:val="none"/>
        </w:rPr>
        <w:instrText xml:space="preserve"> PAGEREF _Toc26063 \h </w:instrText>
      </w:r>
      <w:r>
        <w:rPr>
          <w:highlight w:val="none"/>
        </w:rPr>
        <w:fldChar w:fldCharType="separate"/>
      </w:r>
      <w:r>
        <w:rPr>
          <w:highlight w:val="none"/>
        </w:rPr>
        <w:t>18</w:t>
      </w:r>
      <w:r>
        <w:rPr>
          <w:highlight w:val="none"/>
        </w:rPr>
        <w:fldChar w:fldCharType="end"/>
      </w:r>
      <w:r>
        <w:rPr>
          <w:rFonts w:hAnsi="宋体"/>
          <w:color w:val="auto"/>
          <w:highlight w:val="none"/>
        </w:rPr>
        <w:fldChar w:fldCharType="end"/>
      </w:r>
    </w:p>
    <w:p w14:paraId="1A7FC18B">
      <w:pPr>
        <w:pStyle w:val="6"/>
        <w:tabs>
          <w:tab w:val="right" w:leader="dot" w:pos="9355"/>
        </w:tabs>
        <w:rPr>
          <w:highlight w:val="none"/>
        </w:rPr>
      </w:pPr>
      <w:r>
        <w:rPr>
          <w:rFonts w:hAnsi="宋体"/>
          <w:color w:val="auto"/>
          <w:highlight w:val="none"/>
        </w:rPr>
        <w:fldChar w:fldCharType="begin"/>
      </w:r>
      <w:r>
        <w:rPr>
          <w:rFonts w:hAnsi="宋体"/>
          <w:highlight w:val="none"/>
        </w:rPr>
        <w:instrText xml:space="preserve"> HYPERLINK \l _Toc30839 </w:instrText>
      </w:r>
      <w:r>
        <w:rPr>
          <w:rFonts w:hAnsi="宋体"/>
          <w:highlight w:val="none"/>
        </w:rPr>
        <w:fldChar w:fldCharType="separate"/>
      </w:r>
      <w:r>
        <w:rPr>
          <w:rFonts w:hint="eastAsia" w:ascii="黑体" w:hAnsi="黑体" w:cs="黑体"/>
          <w:szCs w:val="21"/>
          <w:highlight w:val="none"/>
        </w:rPr>
        <w:t>6.</w:t>
      </w:r>
      <w:r>
        <w:rPr>
          <w:rFonts w:hint="eastAsia" w:ascii="黑体" w:hAnsi="黑体" w:cs="黑体"/>
          <w:szCs w:val="21"/>
          <w:highlight w:val="none"/>
          <w:lang w:val="en-US" w:eastAsia="zh-CN"/>
        </w:rPr>
        <w:t>6</w:t>
      </w:r>
      <w:r>
        <w:rPr>
          <w:rFonts w:hint="eastAsia" w:ascii="黑体" w:hAnsi="黑体" w:cs="黑体"/>
          <w:szCs w:val="21"/>
          <w:highlight w:val="none"/>
        </w:rPr>
        <w:t xml:space="preserve"> 通信线缆</w:t>
      </w:r>
      <w:r>
        <w:rPr>
          <w:highlight w:val="none"/>
        </w:rPr>
        <w:tab/>
      </w:r>
      <w:r>
        <w:rPr>
          <w:highlight w:val="none"/>
        </w:rPr>
        <w:fldChar w:fldCharType="begin"/>
      </w:r>
      <w:r>
        <w:rPr>
          <w:highlight w:val="none"/>
        </w:rPr>
        <w:instrText xml:space="preserve"> PAGEREF _Toc30839 \h </w:instrText>
      </w:r>
      <w:r>
        <w:rPr>
          <w:highlight w:val="none"/>
        </w:rPr>
        <w:fldChar w:fldCharType="separate"/>
      </w:r>
      <w:r>
        <w:rPr>
          <w:highlight w:val="none"/>
        </w:rPr>
        <w:t>18</w:t>
      </w:r>
      <w:r>
        <w:rPr>
          <w:highlight w:val="none"/>
        </w:rPr>
        <w:fldChar w:fldCharType="end"/>
      </w:r>
      <w:r>
        <w:rPr>
          <w:rFonts w:hAnsi="宋体"/>
          <w:color w:val="auto"/>
          <w:highlight w:val="none"/>
        </w:rPr>
        <w:fldChar w:fldCharType="end"/>
      </w:r>
    </w:p>
    <w:p w14:paraId="11A398B7">
      <w:pPr>
        <w:pStyle w:val="10"/>
        <w:tabs>
          <w:tab w:val="right" w:leader="dot" w:pos="9355"/>
          <w:tab w:val="clear" w:pos="9344"/>
        </w:tabs>
        <w:rPr>
          <w:highlight w:val="none"/>
        </w:rPr>
      </w:pPr>
      <w:r>
        <w:rPr>
          <w:rFonts w:hAnsi="宋体"/>
          <w:color w:val="auto"/>
          <w:highlight w:val="none"/>
        </w:rPr>
        <w:fldChar w:fldCharType="begin"/>
      </w:r>
      <w:r>
        <w:rPr>
          <w:rFonts w:hAnsi="宋体"/>
          <w:highlight w:val="none"/>
        </w:rPr>
        <w:instrText xml:space="preserve"> HYPERLINK \l _Toc27671 </w:instrText>
      </w:r>
      <w:r>
        <w:rPr>
          <w:rFonts w:hAnsi="宋体"/>
          <w:highlight w:val="none"/>
        </w:rPr>
        <w:fldChar w:fldCharType="separate"/>
      </w:r>
      <w:r>
        <w:rPr>
          <w:rFonts w:hint="eastAsia" w:ascii="黑体" w:hAnsi="黑体"/>
          <w:highlight w:val="none"/>
        </w:rPr>
        <w:t>7  附属设施设计</w:t>
      </w:r>
      <w:r>
        <w:rPr>
          <w:highlight w:val="none"/>
        </w:rPr>
        <w:tab/>
      </w:r>
      <w:r>
        <w:rPr>
          <w:highlight w:val="none"/>
        </w:rPr>
        <w:fldChar w:fldCharType="begin"/>
      </w:r>
      <w:r>
        <w:rPr>
          <w:highlight w:val="none"/>
        </w:rPr>
        <w:instrText xml:space="preserve"> PAGEREF _Toc27671 \h </w:instrText>
      </w:r>
      <w:r>
        <w:rPr>
          <w:highlight w:val="none"/>
        </w:rPr>
        <w:fldChar w:fldCharType="separate"/>
      </w:r>
      <w:r>
        <w:rPr>
          <w:highlight w:val="none"/>
        </w:rPr>
        <w:t>19</w:t>
      </w:r>
      <w:r>
        <w:rPr>
          <w:highlight w:val="none"/>
        </w:rPr>
        <w:fldChar w:fldCharType="end"/>
      </w:r>
      <w:r>
        <w:rPr>
          <w:rFonts w:hAnsi="宋体"/>
          <w:color w:val="auto"/>
          <w:highlight w:val="none"/>
        </w:rPr>
        <w:fldChar w:fldCharType="end"/>
      </w:r>
    </w:p>
    <w:p w14:paraId="7DDB42FF">
      <w:pPr>
        <w:pStyle w:val="6"/>
        <w:tabs>
          <w:tab w:val="right" w:leader="dot" w:pos="9355"/>
        </w:tabs>
        <w:rPr>
          <w:highlight w:val="none"/>
        </w:rPr>
      </w:pPr>
      <w:r>
        <w:rPr>
          <w:rFonts w:hAnsi="宋体"/>
          <w:color w:val="auto"/>
          <w:highlight w:val="none"/>
        </w:rPr>
        <w:fldChar w:fldCharType="begin"/>
      </w:r>
      <w:r>
        <w:rPr>
          <w:rFonts w:hAnsi="宋体"/>
          <w:highlight w:val="none"/>
        </w:rPr>
        <w:instrText xml:space="preserve"> HYPERLINK \l _Toc10264 </w:instrText>
      </w:r>
      <w:r>
        <w:rPr>
          <w:rFonts w:hAnsi="宋体"/>
          <w:highlight w:val="none"/>
        </w:rPr>
        <w:fldChar w:fldCharType="separate"/>
      </w:r>
      <w:r>
        <w:rPr>
          <w:rFonts w:hint="eastAsia" w:ascii="黑体" w:hAnsi="黑体" w:cs="黑体"/>
          <w:szCs w:val="21"/>
          <w:highlight w:val="none"/>
        </w:rPr>
        <w:t>7</w:t>
      </w:r>
      <w:r>
        <w:rPr>
          <w:rFonts w:ascii="黑体" w:hAnsi="黑体" w:cs="黑体"/>
          <w:szCs w:val="21"/>
          <w:highlight w:val="none"/>
        </w:rPr>
        <w:t xml:space="preserve">.1 </w:t>
      </w:r>
      <w:r>
        <w:rPr>
          <w:rFonts w:hint="eastAsia" w:ascii="黑体" w:hAnsi="黑体" w:cs="黑体"/>
          <w:szCs w:val="21"/>
          <w:highlight w:val="none"/>
        </w:rPr>
        <w:t>消防</w:t>
      </w:r>
      <w:r>
        <w:rPr>
          <w:highlight w:val="none"/>
        </w:rPr>
        <w:tab/>
      </w:r>
      <w:r>
        <w:rPr>
          <w:highlight w:val="none"/>
        </w:rPr>
        <w:fldChar w:fldCharType="begin"/>
      </w:r>
      <w:r>
        <w:rPr>
          <w:highlight w:val="none"/>
        </w:rPr>
        <w:instrText xml:space="preserve"> PAGEREF _Toc10264 \h </w:instrText>
      </w:r>
      <w:r>
        <w:rPr>
          <w:highlight w:val="none"/>
        </w:rPr>
        <w:fldChar w:fldCharType="separate"/>
      </w:r>
      <w:r>
        <w:rPr>
          <w:highlight w:val="none"/>
        </w:rPr>
        <w:t>19</w:t>
      </w:r>
      <w:r>
        <w:rPr>
          <w:highlight w:val="none"/>
        </w:rPr>
        <w:fldChar w:fldCharType="end"/>
      </w:r>
      <w:r>
        <w:rPr>
          <w:rFonts w:hAnsi="宋体"/>
          <w:color w:val="auto"/>
          <w:highlight w:val="none"/>
        </w:rPr>
        <w:fldChar w:fldCharType="end"/>
      </w:r>
    </w:p>
    <w:p w14:paraId="34D3F912">
      <w:pPr>
        <w:pStyle w:val="6"/>
        <w:tabs>
          <w:tab w:val="right" w:leader="dot" w:pos="9355"/>
        </w:tabs>
        <w:rPr>
          <w:highlight w:val="none"/>
        </w:rPr>
      </w:pPr>
      <w:r>
        <w:rPr>
          <w:rFonts w:hAnsi="宋体"/>
          <w:color w:val="auto"/>
          <w:highlight w:val="none"/>
        </w:rPr>
        <w:fldChar w:fldCharType="begin"/>
      </w:r>
      <w:r>
        <w:rPr>
          <w:rFonts w:hAnsi="宋体"/>
          <w:highlight w:val="none"/>
        </w:rPr>
        <w:instrText xml:space="preserve"> HYPERLINK \l _Toc8807 </w:instrText>
      </w:r>
      <w:r>
        <w:rPr>
          <w:rFonts w:hAnsi="宋体"/>
          <w:highlight w:val="none"/>
        </w:rPr>
        <w:fldChar w:fldCharType="separate"/>
      </w:r>
      <w:r>
        <w:rPr>
          <w:rFonts w:hint="eastAsia" w:ascii="黑体" w:hAnsi="黑体" w:cs="黑体"/>
          <w:szCs w:val="21"/>
          <w:highlight w:val="none"/>
        </w:rPr>
        <w:t>7.</w:t>
      </w:r>
      <w:r>
        <w:rPr>
          <w:rFonts w:ascii="黑体" w:hAnsi="黑体" w:cs="黑体"/>
          <w:szCs w:val="21"/>
          <w:highlight w:val="none"/>
        </w:rPr>
        <w:t>2</w:t>
      </w:r>
      <w:r>
        <w:rPr>
          <w:rFonts w:hint="eastAsia" w:ascii="黑体" w:hAnsi="黑体" w:cs="黑体"/>
          <w:szCs w:val="21"/>
          <w:highlight w:val="none"/>
        </w:rPr>
        <w:t xml:space="preserve"> 通风</w:t>
      </w:r>
      <w:r>
        <w:rPr>
          <w:highlight w:val="none"/>
        </w:rPr>
        <w:tab/>
      </w:r>
      <w:r>
        <w:rPr>
          <w:highlight w:val="none"/>
        </w:rPr>
        <w:fldChar w:fldCharType="begin"/>
      </w:r>
      <w:r>
        <w:rPr>
          <w:highlight w:val="none"/>
        </w:rPr>
        <w:instrText xml:space="preserve"> PAGEREF _Toc8807 \h </w:instrText>
      </w:r>
      <w:r>
        <w:rPr>
          <w:highlight w:val="none"/>
        </w:rPr>
        <w:fldChar w:fldCharType="separate"/>
      </w:r>
      <w:r>
        <w:rPr>
          <w:highlight w:val="none"/>
        </w:rPr>
        <w:t>20</w:t>
      </w:r>
      <w:r>
        <w:rPr>
          <w:highlight w:val="none"/>
        </w:rPr>
        <w:fldChar w:fldCharType="end"/>
      </w:r>
      <w:r>
        <w:rPr>
          <w:rFonts w:hAnsi="宋体"/>
          <w:color w:val="auto"/>
          <w:highlight w:val="none"/>
        </w:rPr>
        <w:fldChar w:fldCharType="end"/>
      </w:r>
    </w:p>
    <w:p w14:paraId="72A9703F">
      <w:pPr>
        <w:pStyle w:val="6"/>
        <w:tabs>
          <w:tab w:val="right" w:leader="dot" w:pos="9355"/>
        </w:tabs>
        <w:rPr>
          <w:highlight w:val="none"/>
        </w:rPr>
      </w:pPr>
      <w:r>
        <w:rPr>
          <w:rFonts w:hAnsi="宋体"/>
          <w:color w:val="auto"/>
          <w:highlight w:val="none"/>
        </w:rPr>
        <w:fldChar w:fldCharType="begin"/>
      </w:r>
      <w:r>
        <w:rPr>
          <w:rFonts w:hAnsi="宋体"/>
          <w:highlight w:val="none"/>
        </w:rPr>
        <w:instrText xml:space="preserve"> HYPERLINK \l _Toc4026 </w:instrText>
      </w:r>
      <w:r>
        <w:rPr>
          <w:rFonts w:hAnsi="宋体"/>
          <w:highlight w:val="none"/>
        </w:rPr>
        <w:fldChar w:fldCharType="separate"/>
      </w:r>
      <w:r>
        <w:rPr>
          <w:rFonts w:hint="eastAsia" w:ascii="黑体" w:hAnsi="黑体" w:cs="黑体"/>
          <w:szCs w:val="21"/>
          <w:highlight w:val="none"/>
        </w:rPr>
        <w:t>7.</w:t>
      </w:r>
      <w:r>
        <w:rPr>
          <w:rFonts w:ascii="黑体" w:hAnsi="黑体" w:cs="黑体"/>
          <w:szCs w:val="21"/>
          <w:highlight w:val="none"/>
        </w:rPr>
        <w:t>3</w:t>
      </w:r>
      <w:r>
        <w:rPr>
          <w:rFonts w:hint="eastAsia" w:ascii="黑体" w:hAnsi="黑体" w:cs="黑体"/>
          <w:szCs w:val="21"/>
          <w:highlight w:val="none"/>
        </w:rPr>
        <w:t xml:space="preserve"> 供电及照明</w:t>
      </w:r>
      <w:r>
        <w:rPr>
          <w:highlight w:val="none"/>
        </w:rPr>
        <w:tab/>
      </w:r>
      <w:r>
        <w:rPr>
          <w:highlight w:val="none"/>
        </w:rPr>
        <w:fldChar w:fldCharType="begin"/>
      </w:r>
      <w:r>
        <w:rPr>
          <w:highlight w:val="none"/>
        </w:rPr>
        <w:instrText xml:space="preserve"> PAGEREF _Toc4026 \h </w:instrText>
      </w:r>
      <w:r>
        <w:rPr>
          <w:highlight w:val="none"/>
        </w:rPr>
        <w:fldChar w:fldCharType="separate"/>
      </w:r>
      <w:r>
        <w:rPr>
          <w:highlight w:val="none"/>
        </w:rPr>
        <w:t>20</w:t>
      </w:r>
      <w:r>
        <w:rPr>
          <w:highlight w:val="none"/>
        </w:rPr>
        <w:fldChar w:fldCharType="end"/>
      </w:r>
      <w:r>
        <w:rPr>
          <w:rFonts w:hAnsi="宋体"/>
          <w:color w:val="auto"/>
          <w:highlight w:val="none"/>
        </w:rPr>
        <w:fldChar w:fldCharType="end"/>
      </w:r>
    </w:p>
    <w:p w14:paraId="11B16797">
      <w:pPr>
        <w:pStyle w:val="6"/>
        <w:tabs>
          <w:tab w:val="right" w:leader="dot" w:pos="9355"/>
        </w:tabs>
        <w:rPr>
          <w:highlight w:val="none"/>
        </w:rPr>
      </w:pPr>
      <w:r>
        <w:rPr>
          <w:rFonts w:hAnsi="宋体"/>
          <w:color w:val="auto"/>
          <w:highlight w:val="none"/>
        </w:rPr>
        <w:fldChar w:fldCharType="begin"/>
      </w:r>
      <w:r>
        <w:rPr>
          <w:rFonts w:hAnsi="宋体"/>
          <w:highlight w:val="none"/>
        </w:rPr>
        <w:instrText xml:space="preserve"> HYPERLINK \l _Toc15729 </w:instrText>
      </w:r>
      <w:r>
        <w:rPr>
          <w:rFonts w:hAnsi="宋体"/>
          <w:highlight w:val="none"/>
        </w:rPr>
        <w:fldChar w:fldCharType="separate"/>
      </w:r>
      <w:r>
        <w:rPr>
          <w:rFonts w:hint="eastAsia" w:ascii="黑体" w:hAnsi="黑体" w:cs="黑体"/>
          <w:szCs w:val="21"/>
          <w:highlight w:val="none"/>
        </w:rPr>
        <w:t>7.</w:t>
      </w:r>
      <w:r>
        <w:rPr>
          <w:rFonts w:ascii="黑体" w:hAnsi="黑体" w:cs="黑体"/>
          <w:szCs w:val="21"/>
          <w:highlight w:val="none"/>
        </w:rPr>
        <w:t>4</w:t>
      </w:r>
      <w:r>
        <w:rPr>
          <w:rFonts w:hint="eastAsia" w:ascii="黑体" w:hAnsi="黑体" w:cs="黑体"/>
          <w:szCs w:val="21"/>
          <w:highlight w:val="none"/>
        </w:rPr>
        <w:t xml:space="preserve"> 监</w:t>
      </w:r>
      <w:r>
        <w:rPr>
          <w:rFonts w:hint="eastAsia" w:ascii="黑体" w:hAnsi="黑体" w:cs="黑体"/>
          <w:szCs w:val="21"/>
          <w:highlight w:val="none"/>
          <w:lang w:val="en-US" w:eastAsia="zh-CN"/>
        </w:rPr>
        <w:t>控</w:t>
      </w:r>
      <w:r>
        <w:rPr>
          <w:rFonts w:hint="eastAsia" w:ascii="黑体" w:hAnsi="黑体" w:cs="黑体"/>
          <w:szCs w:val="21"/>
          <w:highlight w:val="none"/>
        </w:rPr>
        <w:t>与报警</w:t>
      </w:r>
      <w:r>
        <w:rPr>
          <w:highlight w:val="none"/>
        </w:rPr>
        <w:tab/>
      </w:r>
      <w:r>
        <w:rPr>
          <w:highlight w:val="none"/>
        </w:rPr>
        <w:fldChar w:fldCharType="begin"/>
      </w:r>
      <w:r>
        <w:rPr>
          <w:highlight w:val="none"/>
        </w:rPr>
        <w:instrText xml:space="preserve"> PAGEREF _Toc15729 \h </w:instrText>
      </w:r>
      <w:r>
        <w:rPr>
          <w:highlight w:val="none"/>
        </w:rPr>
        <w:fldChar w:fldCharType="separate"/>
      </w:r>
      <w:r>
        <w:rPr>
          <w:highlight w:val="none"/>
        </w:rPr>
        <w:t>21</w:t>
      </w:r>
      <w:r>
        <w:rPr>
          <w:highlight w:val="none"/>
        </w:rPr>
        <w:fldChar w:fldCharType="end"/>
      </w:r>
      <w:r>
        <w:rPr>
          <w:rFonts w:hAnsi="宋体"/>
          <w:color w:val="auto"/>
          <w:highlight w:val="none"/>
        </w:rPr>
        <w:fldChar w:fldCharType="end"/>
      </w:r>
    </w:p>
    <w:p w14:paraId="78BE91E4">
      <w:pPr>
        <w:pStyle w:val="6"/>
        <w:tabs>
          <w:tab w:val="right" w:leader="dot" w:pos="9355"/>
        </w:tabs>
        <w:rPr>
          <w:highlight w:val="none"/>
        </w:rPr>
      </w:pPr>
      <w:r>
        <w:rPr>
          <w:rFonts w:hAnsi="宋体"/>
          <w:color w:val="auto"/>
          <w:highlight w:val="none"/>
        </w:rPr>
        <w:fldChar w:fldCharType="begin"/>
      </w:r>
      <w:r>
        <w:rPr>
          <w:rFonts w:hAnsi="宋体"/>
          <w:highlight w:val="none"/>
        </w:rPr>
        <w:instrText xml:space="preserve"> HYPERLINK \l _Toc29673 </w:instrText>
      </w:r>
      <w:r>
        <w:rPr>
          <w:rFonts w:hAnsi="宋体"/>
          <w:highlight w:val="none"/>
        </w:rPr>
        <w:fldChar w:fldCharType="separate"/>
      </w:r>
      <w:r>
        <w:rPr>
          <w:rFonts w:hint="eastAsia" w:ascii="黑体" w:hAnsi="黑体" w:cs="黑体"/>
          <w:szCs w:val="21"/>
          <w:highlight w:val="none"/>
        </w:rPr>
        <w:t>7.</w:t>
      </w:r>
      <w:r>
        <w:rPr>
          <w:rFonts w:ascii="黑体" w:hAnsi="黑体" w:cs="黑体"/>
          <w:szCs w:val="21"/>
          <w:highlight w:val="none"/>
        </w:rPr>
        <w:t>5</w:t>
      </w:r>
      <w:r>
        <w:rPr>
          <w:rFonts w:hint="eastAsia" w:ascii="黑体" w:hAnsi="黑体" w:cs="黑体"/>
          <w:szCs w:val="21"/>
          <w:highlight w:val="none"/>
        </w:rPr>
        <w:t xml:space="preserve"> 排水</w:t>
      </w:r>
      <w:r>
        <w:rPr>
          <w:highlight w:val="none"/>
        </w:rPr>
        <w:tab/>
      </w:r>
      <w:r>
        <w:rPr>
          <w:highlight w:val="none"/>
        </w:rPr>
        <w:fldChar w:fldCharType="begin"/>
      </w:r>
      <w:r>
        <w:rPr>
          <w:highlight w:val="none"/>
        </w:rPr>
        <w:instrText xml:space="preserve"> PAGEREF _Toc29673 \h </w:instrText>
      </w:r>
      <w:r>
        <w:rPr>
          <w:highlight w:val="none"/>
        </w:rPr>
        <w:fldChar w:fldCharType="separate"/>
      </w:r>
      <w:r>
        <w:rPr>
          <w:highlight w:val="none"/>
        </w:rPr>
        <w:t>22</w:t>
      </w:r>
      <w:r>
        <w:rPr>
          <w:highlight w:val="none"/>
        </w:rPr>
        <w:fldChar w:fldCharType="end"/>
      </w:r>
      <w:r>
        <w:rPr>
          <w:rFonts w:hAnsi="宋体"/>
          <w:color w:val="auto"/>
          <w:highlight w:val="none"/>
        </w:rPr>
        <w:fldChar w:fldCharType="end"/>
      </w:r>
    </w:p>
    <w:p w14:paraId="13EC821E">
      <w:pPr>
        <w:pStyle w:val="6"/>
        <w:tabs>
          <w:tab w:val="right" w:leader="dot" w:pos="9355"/>
        </w:tabs>
        <w:rPr>
          <w:highlight w:val="none"/>
        </w:rPr>
      </w:pPr>
      <w:r>
        <w:rPr>
          <w:rFonts w:hAnsi="宋体"/>
          <w:color w:val="auto"/>
          <w:highlight w:val="none"/>
        </w:rPr>
        <w:fldChar w:fldCharType="begin"/>
      </w:r>
      <w:r>
        <w:rPr>
          <w:rFonts w:hAnsi="宋体"/>
          <w:highlight w:val="none"/>
        </w:rPr>
        <w:instrText xml:space="preserve"> HYPERLINK \l _Toc28565 </w:instrText>
      </w:r>
      <w:r>
        <w:rPr>
          <w:rFonts w:hAnsi="宋体"/>
          <w:highlight w:val="none"/>
        </w:rPr>
        <w:fldChar w:fldCharType="separate"/>
      </w:r>
      <w:r>
        <w:rPr>
          <w:rFonts w:hint="eastAsia" w:ascii="黑体" w:hAnsi="黑体" w:cs="黑体"/>
          <w:szCs w:val="21"/>
          <w:highlight w:val="none"/>
        </w:rPr>
        <w:t>7.</w:t>
      </w:r>
      <w:r>
        <w:rPr>
          <w:rFonts w:ascii="黑体" w:hAnsi="黑体" w:cs="黑体"/>
          <w:szCs w:val="21"/>
          <w:highlight w:val="none"/>
        </w:rPr>
        <w:t>6</w:t>
      </w:r>
      <w:r>
        <w:rPr>
          <w:rFonts w:hint="eastAsia" w:ascii="黑体" w:hAnsi="黑体" w:cs="黑体"/>
          <w:szCs w:val="21"/>
          <w:highlight w:val="none"/>
        </w:rPr>
        <w:t xml:space="preserve"> 标识</w:t>
      </w:r>
      <w:r>
        <w:rPr>
          <w:highlight w:val="none"/>
        </w:rPr>
        <w:tab/>
      </w:r>
      <w:r>
        <w:rPr>
          <w:highlight w:val="none"/>
        </w:rPr>
        <w:fldChar w:fldCharType="begin"/>
      </w:r>
      <w:r>
        <w:rPr>
          <w:highlight w:val="none"/>
        </w:rPr>
        <w:instrText xml:space="preserve"> PAGEREF _Toc28565 \h </w:instrText>
      </w:r>
      <w:r>
        <w:rPr>
          <w:highlight w:val="none"/>
        </w:rPr>
        <w:fldChar w:fldCharType="separate"/>
      </w:r>
      <w:r>
        <w:rPr>
          <w:highlight w:val="none"/>
        </w:rPr>
        <w:t>22</w:t>
      </w:r>
      <w:r>
        <w:rPr>
          <w:highlight w:val="none"/>
        </w:rPr>
        <w:fldChar w:fldCharType="end"/>
      </w:r>
      <w:r>
        <w:rPr>
          <w:rFonts w:hAnsi="宋体"/>
          <w:color w:val="auto"/>
          <w:highlight w:val="none"/>
        </w:rPr>
        <w:fldChar w:fldCharType="end"/>
      </w:r>
    </w:p>
    <w:p w14:paraId="569F402F">
      <w:pPr>
        <w:pStyle w:val="6"/>
        <w:tabs>
          <w:tab w:val="right" w:leader="dot" w:pos="9355"/>
        </w:tabs>
        <w:rPr>
          <w:highlight w:val="none"/>
        </w:rPr>
      </w:pPr>
      <w:r>
        <w:rPr>
          <w:rFonts w:hAnsi="宋体"/>
          <w:color w:val="auto"/>
          <w:highlight w:val="none"/>
        </w:rPr>
        <w:fldChar w:fldCharType="begin"/>
      </w:r>
      <w:r>
        <w:rPr>
          <w:rFonts w:hAnsi="宋体"/>
          <w:highlight w:val="none"/>
        </w:rPr>
        <w:instrText xml:space="preserve"> HYPERLINK \l _Toc17800 </w:instrText>
      </w:r>
      <w:r>
        <w:rPr>
          <w:rFonts w:hAnsi="宋体"/>
          <w:highlight w:val="none"/>
        </w:rPr>
        <w:fldChar w:fldCharType="separate"/>
      </w:r>
      <w:r>
        <w:rPr>
          <w:rFonts w:hint="eastAsia" w:ascii="黑体" w:hAnsi="黑体" w:cs="黑体"/>
          <w:szCs w:val="21"/>
          <w:highlight w:val="none"/>
        </w:rPr>
        <w:t>7.</w:t>
      </w:r>
      <w:r>
        <w:rPr>
          <w:rFonts w:ascii="黑体" w:hAnsi="黑体" w:cs="黑体"/>
          <w:szCs w:val="21"/>
          <w:highlight w:val="none"/>
        </w:rPr>
        <w:t>7</w:t>
      </w:r>
      <w:r>
        <w:rPr>
          <w:rFonts w:hint="eastAsia" w:ascii="黑体" w:hAnsi="黑体" w:cs="黑体"/>
          <w:szCs w:val="21"/>
          <w:highlight w:val="none"/>
        </w:rPr>
        <w:t xml:space="preserve"> 防入侵</w:t>
      </w:r>
      <w:r>
        <w:rPr>
          <w:highlight w:val="none"/>
        </w:rPr>
        <w:tab/>
      </w:r>
      <w:r>
        <w:rPr>
          <w:highlight w:val="none"/>
        </w:rPr>
        <w:fldChar w:fldCharType="begin"/>
      </w:r>
      <w:r>
        <w:rPr>
          <w:highlight w:val="none"/>
        </w:rPr>
        <w:instrText xml:space="preserve"> PAGEREF _Toc17800 \h </w:instrText>
      </w:r>
      <w:r>
        <w:rPr>
          <w:highlight w:val="none"/>
        </w:rPr>
        <w:fldChar w:fldCharType="separate"/>
      </w:r>
      <w:r>
        <w:rPr>
          <w:highlight w:val="none"/>
        </w:rPr>
        <w:t>22</w:t>
      </w:r>
      <w:r>
        <w:rPr>
          <w:highlight w:val="none"/>
        </w:rPr>
        <w:fldChar w:fldCharType="end"/>
      </w:r>
      <w:r>
        <w:rPr>
          <w:rFonts w:hAnsi="宋体"/>
          <w:color w:val="auto"/>
          <w:highlight w:val="none"/>
        </w:rPr>
        <w:fldChar w:fldCharType="end"/>
      </w:r>
    </w:p>
    <w:p w14:paraId="58D11438">
      <w:pPr>
        <w:pStyle w:val="10"/>
        <w:tabs>
          <w:tab w:val="right" w:leader="dot" w:pos="9355"/>
          <w:tab w:val="clear" w:pos="9344"/>
        </w:tabs>
        <w:rPr>
          <w:highlight w:val="none"/>
        </w:rPr>
      </w:pPr>
      <w:r>
        <w:rPr>
          <w:rFonts w:hAnsi="宋体"/>
          <w:color w:val="auto"/>
          <w:highlight w:val="none"/>
        </w:rPr>
        <w:fldChar w:fldCharType="begin"/>
      </w:r>
      <w:r>
        <w:rPr>
          <w:rFonts w:hAnsi="宋体"/>
          <w:highlight w:val="none"/>
        </w:rPr>
        <w:instrText xml:space="preserve"> HYPERLINK \l _Toc13888 </w:instrText>
      </w:r>
      <w:r>
        <w:rPr>
          <w:rFonts w:hAnsi="宋体"/>
          <w:highlight w:val="none"/>
        </w:rPr>
        <w:fldChar w:fldCharType="separate"/>
      </w:r>
      <w:r>
        <w:rPr>
          <w:rFonts w:hint="eastAsia" w:ascii="黑体" w:hAnsi="黑体"/>
          <w:highlight w:val="none"/>
        </w:rPr>
        <w:t>8  结构设计</w:t>
      </w:r>
      <w:r>
        <w:rPr>
          <w:highlight w:val="none"/>
        </w:rPr>
        <w:tab/>
      </w:r>
      <w:r>
        <w:rPr>
          <w:highlight w:val="none"/>
        </w:rPr>
        <w:fldChar w:fldCharType="begin"/>
      </w:r>
      <w:r>
        <w:rPr>
          <w:highlight w:val="none"/>
        </w:rPr>
        <w:instrText xml:space="preserve"> PAGEREF _Toc13888 \h </w:instrText>
      </w:r>
      <w:r>
        <w:rPr>
          <w:highlight w:val="none"/>
        </w:rPr>
        <w:fldChar w:fldCharType="separate"/>
      </w:r>
      <w:r>
        <w:rPr>
          <w:highlight w:val="none"/>
        </w:rPr>
        <w:t>23</w:t>
      </w:r>
      <w:r>
        <w:rPr>
          <w:highlight w:val="none"/>
        </w:rPr>
        <w:fldChar w:fldCharType="end"/>
      </w:r>
      <w:r>
        <w:rPr>
          <w:rFonts w:hAnsi="宋体"/>
          <w:color w:val="auto"/>
          <w:highlight w:val="none"/>
        </w:rPr>
        <w:fldChar w:fldCharType="end"/>
      </w:r>
    </w:p>
    <w:p w14:paraId="42A1CF87">
      <w:pPr>
        <w:pStyle w:val="6"/>
        <w:tabs>
          <w:tab w:val="right" w:leader="dot" w:pos="9355"/>
        </w:tabs>
        <w:rPr>
          <w:highlight w:val="none"/>
        </w:rPr>
      </w:pPr>
      <w:r>
        <w:rPr>
          <w:rFonts w:hAnsi="宋体"/>
          <w:color w:val="auto"/>
          <w:highlight w:val="none"/>
        </w:rPr>
        <w:fldChar w:fldCharType="begin"/>
      </w:r>
      <w:r>
        <w:rPr>
          <w:rFonts w:hAnsi="宋体"/>
          <w:highlight w:val="none"/>
        </w:rPr>
        <w:instrText xml:space="preserve"> HYPERLINK \l _Toc25617 </w:instrText>
      </w:r>
      <w:r>
        <w:rPr>
          <w:rFonts w:hAnsi="宋体"/>
          <w:highlight w:val="none"/>
        </w:rPr>
        <w:fldChar w:fldCharType="separate"/>
      </w:r>
      <w:r>
        <w:rPr>
          <w:rFonts w:hint="eastAsia" w:ascii="黑体" w:hAnsi="黑体" w:cs="黑体"/>
          <w:szCs w:val="21"/>
          <w:highlight w:val="none"/>
        </w:rPr>
        <w:t>8.1</w:t>
      </w:r>
      <w:r>
        <w:rPr>
          <w:rFonts w:hint="eastAsia" w:ascii="黑体" w:hAnsi="黑体" w:cs="黑体"/>
          <w:szCs w:val="21"/>
          <w:highlight w:val="none"/>
          <w:lang w:val="en-US" w:eastAsia="zh-CN"/>
        </w:rPr>
        <w:t xml:space="preserve"> </w:t>
      </w:r>
      <w:r>
        <w:rPr>
          <w:rFonts w:hint="eastAsia" w:ascii="黑体" w:hAnsi="黑体" w:cs="黑体"/>
          <w:szCs w:val="21"/>
          <w:highlight w:val="none"/>
        </w:rPr>
        <w:t>一般规定</w:t>
      </w:r>
      <w:r>
        <w:rPr>
          <w:highlight w:val="none"/>
        </w:rPr>
        <w:tab/>
      </w:r>
      <w:r>
        <w:rPr>
          <w:highlight w:val="none"/>
        </w:rPr>
        <w:fldChar w:fldCharType="begin"/>
      </w:r>
      <w:r>
        <w:rPr>
          <w:highlight w:val="none"/>
        </w:rPr>
        <w:instrText xml:space="preserve"> PAGEREF _Toc25617 \h </w:instrText>
      </w:r>
      <w:r>
        <w:rPr>
          <w:highlight w:val="none"/>
        </w:rPr>
        <w:fldChar w:fldCharType="separate"/>
      </w:r>
      <w:r>
        <w:rPr>
          <w:highlight w:val="none"/>
        </w:rPr>
        <w:t>23</w:t>
      </w:r>
      <w:r>
        <w:rPr>
          <w:highlight w:val="none"/>
        </w:rPr>
        <w:fldChar w:fldCharType="end"/>
      </w:r>
      <w:r>
        <w:rPr>
          <w:rFonts w:hAnsi="宋体"/>
          <w:color w:val="auto"/>
          <w:highlight w:val="none"/>
        </w:rPr>
        <w:fldChar w:fldCharType="end"/>
      </w:r>
    </w:p>
    <w:p w14:paraId="5DD1046C">
      <w:pPr>
        <w:pStyle w:val="6"/>
        <w:tabs>
          <w:tab w:val="right" w:leader="dot" w:pos="9355"/>
        </w:tabs>
        <w:rPr>
          <w:highlight w:val="none"/>
        </w:rPr>
      </w:pPr>
      <w:r>
        <w:rPr>
          <w:rFonts w:hAnsi="宋体"/>
          <w:color w:val="auto"/>
          <w:highlight w:val="none"/>
        </w:rPr>
        <w:fldChar w:fldCharType="begin"/>
      </w:r>
      <w:r>
        <w:rPr>
          <w:rFonts w:hAnsi="宋体"/>
          <w:highlight w:val="none"/>
        </w:rPr>
        <w:instrText xml:space="preserve"> HYPERLINK \l _Toc5027 </w:instrText>
      </w:r>
      <w:r>
        <w:rPr>
          <w:rFonts w:hAnsi="宋体"/>
          <w:highlight w:val="none"/>
        </w:rPr>
        <w:fldChar w:fldCharType="separate"/>
      </w:r>
      <w:r>
        <w:rPr>
          <w:rFonts w:hint="eastAsia" w:ascii="黑体" w:hAnsi="黑体" w:cs="黑体"/>
          <w:szCs w:val="21"/>
          <w:highlight w:val="none"/>
        </w:rPr>
        <w:t xml:space="preserve">8.2 </w:t>
      </w:r>
      <w:r>
        <w:rPr>
          <w:rFonts w:ascii="黑体" w:hAnsi="黑体" w:cs="黑体"/>
          <w:szCs w:val="21"/>
          <w:highlight w:val="none"/>
        </w:rPr>
        <w:t>材</w:t>
      </w:r>
      <w:r>
        <w:rPr>
          <w:rFonts w:ascii="Times New Roman" w:hAnsi="Times New Roman"/>
          <w:szCs w:val="21"/>
          <w:highlight w:val="none"/>
        </w:rPr>
        <w:t>料</w:t>
      </w:r>
      <w:r>
        <w:rPr>
          <w:highlight w:val="none"/>
        </w:rPr>
        <w:tab/>
      </w:r>
      <w:r>
        <w:rPr>
          <w:highlight w:val="none"/>
        </w:rPr>
        <w:fldChar w:fldCharType="begin"/>
      </w:r>
      <w:r>
        <w:rPr>
          <w:highlight w:val="none"/>
        </w:rPr>
        <w:instrText xml:space="preserve"> PAGEREF _Toc5027 \h </w:instrText>
      </w:r>
      <w:r>
        <w:rPr>
          <w:highlight w:val="none"/>
        </w:rPr>
        <w:fldChar w:fldCharType="separate"/>
      </w:r>
      <w:r>
        <w:rPr>
          <w:highlight w:val="none"/>
        </w:rPr>
        <w:t>23</w:t>
      </w:r>
      <w:r>
        <w:rPr>
          <w:highlight w:val="none"/>
        </w:rPr>
        <w:fldChar w:fldCharType="end"/>
      </w:r>
      <w:r>
        <w:rPr>
          <w:rFonts w:hAnsi="宋体"/>
          <w:color w:val="auto"/>
          <w:highlight w:val="none"/>
        </w:rPr>
        <w:fldChar w:fldCharType="end"/>
      </w:r>
    </w:p>
    <w:p w14:paraId="438635DC">
      <w:pPr>
        <w:pStyle w:val="6"/>
        <w:tabs>
          <w:tab w:val="right" w:leader="dot" w:pos="9355"/>
        </w:tabs>
        <w:rPr>
          <w:highlight w:val="none"/>
        </w:rPr>
      </w:pPr>
      <w:r>
        <w:rPr>
          <w:rFonts w:hAnsi="宋体"/>
          <w:color w:val="auto"/>
          <w:highlight w:val="none"/>
        </w:rPr>
        <w:fldChar w:fldCharType="begin"/>
      </w:r>
      <w:r>
        <w:rPr>
          <w:rFonts w:hAnsi="宋体"/>
          <w:highlight w:val="none"/>
        </w:rPr>
        <w:instrText xml:space="preserve"> HYPERLINK \l _Toc28434 </w:instrText>
      </w:r>
      <w:r>
        <w:rPr>
          <w:rFonts w:hAnsi="宋体"/>
          <w:highlight w:val="none"/>
        </w:rPr>
        <w:fldChar w:fldCharType="separate"/>
      </w:r>
      <w:r>
        <w:rPr>
          <w:rFonts w:hint="eastAsia" w:ascii="黑体" w:hAnsi="黑体" w:cs="黑体"/>
          <w:szCs w:val="21"/>
          <w:highlight w:val="none"/>
        </w:rPr>
        <w:t>8</w:t>
      </w:r>
      <w:r>
        <w:rPr>
          <w:rFonts w:ascii="黑体" w:hAnsi="黑体" w:cs="黑体"/>
          <w:szCs w:val="21"/>
          <w:highlight w:val="none"/>
        </w:rPr>
        <w:t>.3 结构上的作用</w:t>
      </w:r>
      <w:r>
        <w:rPr>
          <w:highlight w:val="none"/>
        </w:rPr>
        <w:tab/>
      </w:r>
      <w:r>
        <w:rPr>
          <w:highlight w:val="none"/>
        </w:rPr>
        <w:fldChar w:fldCharType="begin"/>
      </w:r>
      <w:r>
        <w:rPr>
          <w:highlight w:val="none"/>
        </w:rPr>
        <w:instrText xml:space="preserve"> PAGEREF _Toc28434 \h </w:instrText>
      </w:r>
      <w:r>
        <w:rPr>
          <w:highlight w:val="none"/>
        </w:rPr>
        <w:fldChar w:fldCharType="separate"/>
      </w:r>
      <w:r>
        <w:rPr>
          <w:highlight w:val="none"/>
        </w:rPr>
        <w:t>24</w:t>
      </w:r>
      <w:r>
        <w:rPr>
          <w:highlight w:val="none"/>
        </w:rPr>
        <w:fldChar w:fldCharType="end"/>
      </w:r>
      <w:r>
        <w:rPr>
          <w:rFonts w:hAnsi="宋体"/>
          <w:color w:val="auto"/>
          <w:highlight w:val="none"/>
        </w:rPr>
        <w:fldChar w:fldCharType="end"/>
      </w:r>
    </w:p>
    <w:p w14:paraId="5F59CACD">
      <w:pPr>
        <w:pStyle w:val="6"/>
        <w:tabs>
          <w:tab w:val="right" w:leader="dot" w:pos="9355"/>
        </w:tabs>
        <w:rPr>
          <w:highlight w:val="none"/>
        </w:rPr>
      </w:pPr>
      <w:r>
        <w:rPr>
          <w:rFonts w:hAnsi="宋体"/>
          <w:color w:val="auto"/>
          <w:highlight w:val="none"/>
        </w:rPr>
        <w:fldChar w:fldCharType="begin"/>
      </w:r>
      <w:r>
        <w:rPr>
          <w:rFonts w:hAnsi="宋体"/>
          <w:highlight w:val="none"/>
        </w:rPr>
        <w:instrText xml:space="preserve"> HYPERLINK \l _Toc7877 </w:instrText>
      </w:r>
      <w:r>
        <w:rPr>
          <w:rFonts w:hAnsi="宋体"/>
          <w:highlight w:val="none"/>
        </w:rPr>
        <w:fldChar w:fldCharType="separate"/>
      </w:r>
      <w:r>
        <w:rPr>
          <w:rFonts w:hint="eastAsia" w:ascii="黑体" w:hAnsi="黑体" w:cs="黑体"/>
          <w:szCs w:val="21"/>
          <w:highlight w:val="none"/>
        </w:rPr>
        <w:t>8.4 小型现浇混凝土综合管廊结构</w:t>
      </w:r>
      <w:r>
        <w:rPr>
          <w:highlight w:val="none"/>
        </w:rPr>
        <w:tab/>
      </w:r>
      <w:r>
        <w:rPr>
          <w:highlight w:val="none"/>
        </w:rPr>
        <w:fldChar w:fldCharType="begin"/>
      </w:r>
      <w:r>
        <w:rPr>
          <w:highlight w:val="none"/>
        </w:rPr>
        <w:instrText xml:space="preserve"> PAGEREF _Toc7877 \h </w:instrText>
      </w:r>
      <w:r>
        <w:rPr>
          <w:highlight w:val="none"/>
        </w:rPr>
        <w:fldChar w:fldCharType="separate"/>
      </w:r>
      <w:r>
        <w:rPr>
          <w:highlight w:val="none"/>
        </w:rPr>
        <w:t>25</w:t>
      </w:r>
      <w:r>
        <w:rPr>
          <w:highlight w:val="none"/>
        </w:rPr>
        <w:fldChar w:fldCharType="end"/>
      </w:r>
      <w:r>
        <w:rPr>
          <w:rFonts w:hAnsi="宋体"/>
          <w:color w:val="auto"/>
          <w:highlight w:val="none"/>
        </w:rPr>
        <w:fldChar w:fldCharType="end"/>
      </w:r>
    </w:p>
    <w:p w14:paraId="625B9BCD">
      <w:pPr>
        <w:pStyle w:val="6"/>
        <w:tabs>
          <w:tab w:val="right" w:leader="dot" w:pos="9355"/>
        </w:tabs>
        <w:rPr>
          <w:highlight w:val="none"/>
        </w:rPr>
      </w:pPr>
      <w:r>
        <w:rPr>
          <w:rFonts w:hAnsi="宋体"/>
          <w:color w:val="auto"/>
          <w:highlight w:val="none"/>
        </w:rPr>
        <w:fldChar w:fldCharType="begin"/>
      </w:r>
      <w:r>
        <w:rPr>
          <w:rFonts w:hAnsi="宋体"/>
          <w:highlight w:val="none"/>
        </w:rPr>
        <w:instrText xml:space="preserve"> HYPERLINK \l _Toc2139 </w:instrText>
      </w:r>
      <w:r>
        <w:rPr>
          <w:rFonts w:hAnsi="宋体"/>
          <w:highlight w:val="none"/>
        </w:rPr>
        <w:fldChar w:fldCharType="separate"/>
      </w:r>
      <w:r>
        <w:rPr>
          <w:rFonts w:hint="eastAsia" w:ascii="黑体" w:hAnsi="黑体" w:cs="黑体"/>
          <w:szCs w:val="21"/>
          <w:highlight w:val="none"/>
        </w:rPr>
        <w:t>8.5 小型预制拼装综合管廊结构</w:t>
      </w:r>
      <w:r>
        <w:rPr>
          <w:highlight w:val="none"/>
        </w:rPr>
        <w:tab/>
      </w:r>
      <w:r>
        <w:rPr>
          <w:highlight w:val="none"/>
        </w:rPr>
        <w:fldChar w:fldCharType="begin"/>
      </w:r>
      <w:r>
        <w:rPr>
          <w:highlight w:val="none"/>
        </w:rPr>
        <w:instrText xml:space="preserve"> PAGEREF _Toc2139 \h </w:instrText>
      </w:r>
      <w:r>
        <w:rPr>
          <w:highlight w:val="none"/>
        </w:rPr>
        <w:fldChar w:fldCharType="separate"/>
      </w:r>
      <w:r>
        <w:rPr>
          <w:highlight w:val="none"/>
        </w:rPr>
        <w:t>25</w:t>
      </w:r>
      <w:r>
        <w:rPr>
          <w:highlight w:val="none"/>
        </w:rPr>
        <w:fldChar w:fldCharType="end"/>
      </w:r>
      <w:r>
        <w:rPr>
          <w:rFonts w:hAnsi="宋体"/>
          <w:color w:val="auto"/>
          <w:highlight w:val="none"/>
        </w:rPr>
        <w:fldChar w:fldCharType="end"/>
      </w:r>
    </w:p>
    <w:p w14:paraId="654933A3">
      <w:pPr>
        <w:pStyle w:val="6"/>
        <w:tabs>
          <w:tab w:val="right" w:leader="dot" w:pos="9355"/>
        </w:tabs>
        <w:rPr>
          <w:highlight w:val="none"/>
        </w:rPr>
      </w:pPr>
      <w:r>
        <w:rPr>
          <w:rFonts w:hAnsi="宋体"/>
          <w:color w:val="auto"/>
          <w:highlight w:val="none"/>
        </w:rPr>
        <w:fldChar w:fldCharType="begin"/>
      </w:r>
      <w:r>
        <w:rPr>
          <w:rFonts w:hAnsi="宋体"/>
          <w:highlight w:val="none"/>
        </w:rPr>
        <w:instrText xml:space="preserve"> HYPERLINK \l _Toc25977 </w:instrText>
      </w:r>
      <w:r>
        <w:rPr>
          <w:rFonts w:hAnsi="宋体"/>
          <w:highlight w:val="none"/>
        </w:rPr>
        <w:fldChar w:fldCharType="separate"/>
      </w:r>
      <w:r>
        <w:rPr>
          <w:rFonts w:hint="eastAsia" w:ascii="黑体" w:hAnsi="黑体" w:cs="黑体"/>
          <w:szCs w:val="21"/>
          <w:highlight w:val="none"/>
        </w:rPr>
        <w:t>8.</w:t>
      </w:r>
      <w:r>
        <w:rPr>
          <w:rFonts w:ascii="黑体" w:hAnsi="黑体" w:cs="黑体"/>
          <w:szCs w:val="21"/>
          <w:highlight w:val="none"/>
        </w:rPr>
        <w:t>6</w:t>
      </w:r>
      <w:r>
        <w:rPr>
          <w:rFonts w:hint="eastAsia" w:ascii="黑体" w:hAnsi="黑体" w:cs="黑体"/>
          <w:szCs w:val="21"/>
          <w:highlight w:val="none"/>
        </w:rPr>
        <w:t xml:space="preserve"> 构造要求</w:t>
      </w:r>
      <w:r>
        <w:rPr>
          <w:highlight w:val="none"/>
        </w:rPr>
        <w:tab/>
      </w:r>
      <w:r>
        <w:rPr>
          <w:highlight w:val="none"/>
        </w:rPr>
        <w:fldChar w:fldCharType="begin"/>
      </w:r>
      <w:r>
        <w:rPr>
          <w:highlight w:val="none"/>
        </w:rPr>
        <w:instrText xml:space="preserve"> PAGEREF _Toc25977 \h </w:instrText>
      </w:r>
      <w:r>
        <w:rPr>
          <w:highlight w:val="none"/>
        </w:rPr>
        <w:fldChar w:fldCharType="separate"/>
      </w:r>
      <w:r>
        <w:rPr>
          <w:highlight w:val="none"/>
        </w:rPr>
        <w:t>25</w:t>
      </w:r>
      <w:r>
        <w:rPr>
          <w:highlight w:val="none"/>
        </w:rPr>
        <w:fldChar w:fldCharType="end"/>
      </w:r>
      <w:r>
        <w:rPr>
          <w:rFonts w:hAnsi="宋体"/>
          <w:color w:val="auto"/>
          <w:highlight w:val="none"/>
        </w:rPr>
        <w:fldChar w:fldCharType="end"/>
      </w:r>
    </w:p>
    <w:p w14:paraId="375B49E6">
      <w:pPr>
        <w:pStyle w:val="10"/>
        <w:tabs>
          <w:tab w:val="right" w:leader="dot" w:pos="9355"/>
          <w:tab w:val="clear" w:pos="9344"/>
        </w:tabs>
        <w:rPr>
          <w:highlight w:val="none"/>
        </w:rPr>
      </w:pPr>
      <w:r>
        <w:rPr>
          <w:rFonts w:hAnsi="宋体"/>
          <w:color w:val="auto"/>
          <w:highlight w:val="none"/>
        </w:rPr>
        <w:fldChar w:fldCharType="begin"/>
      </w:r>
      <w:r>
        <w:rPr>
          <w:rFonts w:hAnsi="宋体"/>
          <w:highlight w:val="none"/>
        </w:rPr>
        <w:instrText xml:space="preserve"> HYPERLINK \l _Toc13487 </w:instrText>
      </w:r>
      <w:r>
        <w:rPr>
          <w:rFonts w:hAnsi="宋体"/>
          <w:highlight w:val="none"/>
        </w:rPr>
        <w:fldChar w:fldCharType="separate"/>
      </w:r>
      <w:r>
        <w:rPr>
          <w:rFonts w:hint="eastAsia" w:ascii="黑体" w:hAnsi="黑体"/>
          <w:highlight w:val="none"/>
        </w:rPr>
        <w:t>9  施工及验收</w:t>
      </w:r>
      <w:r>
        <w:rPr>
          <w:highlight w:val="none"/>
        </w:rPr>
        <w:tab/>
      </w:r>
      <w:r>
        <w:rPr>
          <w:highlight w:val="none"/>
        </w:rPr>
        <w:fldChar w:fldCharType="begin"/>
      </w:r>
      <w:r>
        <w:rPr>
          <w:highlight w:val="none"/>
        </w:rPr>
        <w:instrText xml:space="preserve"> PAGEREF _Toc13487 \h </w:instrText>
      </w:r>
      <w:r>
        <w:rPr>
          <w:highlight w:val="none"/>
        </w:rPr>
        <w:fldChar w:fldCharType="separate"/>
      </w:r>
      <w:r>
        <w:rPr>
          <w:highlight w:val="none"/>
        </w:rPr>
        <w:t>26</w:t>
      </w:r>
      <w:r>
        <w:rPr>
          <w:highlight w:val="none"/>
        </w:rPr>
        <w:fldChar w:fldCharType="end"/>
      </w:r>
      <w:r>
        <w:rPr>
          <w:rFonts w:hAnsi="宋体"/>
          <w:color w:val="auto"/>
          <w:highlight w:val="none"/>
        </w:rPr>
        <w:fldChar w:fldCharType="end"/>
      </w:r>
    </w:p>
    <w:p w14:paraId="6DEFE09B">
      <w:pPr>
        <w:pStyle w:val="6"/>
        <w:tabs>
          <w:tab w:val="right" w:leader="dot" w:pos="9355"/>
        </w:tabs>
        <w:rPr>
          <w:highlight w:val="none"/>
        </w:rPr>
      </w:pPr>
      <w:r>
        <w:rPr>
          <w:rFonts w:hAnsi="宋体"/>
          <w:color w:val="auto"/>
          <w:highlight w:val="none"/>
        </w:rPr>
        <w:fldChar w:fldCharType="begin"/>
      </w:r>
      <w:r>
        <w:rPr>
          <w:rFonts w:hAnsi="宋体"/>
          <w:highlight w:val="none"/>
        </w:rPr>
        <w:instrText xml:space="preserve"> HYPERLINK \l _Toc14024 </w:instrText>
      </w:r>
      <w:r>
        <w:rPr>
          <w:rFonts w:hAnsi="宋体"/>
          <w:highlight w:val="none"/>
        </w:rPr>
        <w:fldChar w:fldCharType="separate"/>
      </w:r>
      <w:r>
        <w:rPr>
          <w:rFonts w:hint="eastAsia" w:ascii="黑体" w:hAnsi="黑体" w:cs="黑体"/>
          <w:szCs w:val="21"/>
          <w:highlight w:val="none"/>
        </w:rPr>
        <w:t>9.1</w:t>
      </w:r>
      <w:r>
        <w:rPr>
          <w:rFonts w:hint="eastAsia" w:ascii="黑体" w:hAnsi="黑体" w:cs="黑体"/>
          <w:szCs w:val="21"/>
          <w:highlight w:val="none"/>
          <w:lang w:val="en-US" w:eastAsia="zh-CN"/>
        </w:rPr>
        <w:t xml:space="preserve"> </w:t>
      </w:r>
      <w:r>
        <w:rPr>
          <w:rFonts w:hint="eastAsia" w:ascii="黑体" w:hAnsi="黑体" w:cs="黑体"/>
          <w:szCs w:val="21"/>
          <w:highlight w:val="none"/>
        </w:rPr>
        <w:t>一般规定</w:t>
      </w:r>
      <w:r>
        <w:rPr>
          <w:highlight w:val="none"/>
        </w:rPr>
        <w:tab/>
      </w:r>
      <w:r>
        <w:rPr>
          <w:highlight w:val="none"/>
        </w:rPr>
        <w:fldChar w:fldCharType="begin"/>
      </w:r>
      <w:r>
        <w:rPr>
          <w:highlight w:val="none"/>
        </w:rPr>
        <w:instrText xml:space="preserve"> PAGEREF _Toc14024 \h </w:instrText>
      </w:r>
      <w:r>
        <w:rPr>
          <w:highlight w:val="none"/>
        </w:rPr>
        <w:fldChar w:fldCharType="separate"/>
      </w:r>
      <w:r>
        <w:rPr>
          <w:highlight w:val="none"/>
        </w:rPr>
        <w:t>26</w:t>
      </w:r>
      <w:r>
        <w:rPr>
          <w:highlight w:val="none"/>
        </w:rPr>
        <w:fldChar w:fldCharType="end"/>
      </w:r>
      <w:r>
        <w:rPr>
          <w:rFonts w:hAnsi="宋体"/>
          <w:color w:val="auto"/>
          <w:highlight w:val="none"/>
        </w:rPr>
        <w:fldChar w:fldCharType="end"/>
      </w:r>
    </w:p>
    <w:p w14:paraId="74A0AB4D">
      <w:pPr>
        <w:pStyle w:val="6"/>
        <w:tabs>
          <w:tab w:val="right" w:leader="dot" w:pos="9355"/>
        </w:tabs>
        <w:rPr>
          <w:highlight w:val="none"/>
        </w:rPr>
      </w:pPr>
      <w:r>
        <w:rPr>
          <w:rFonts w:hAnsi="宋体"/>
          <w:color w:val="auto"/>
          <w:highlight w:val="none"/>
        </w:rPr>
        <w:fldChar w:fldCharType="begin"/>
      </w:r>
      <w:r>
        <w:rPr>
          <w:rFonts w:hAnsi="宋体"/>
          <w:highlight w:val="none"/>
        </w:rPr>
        <w:instrText xml:space="preserve"> HYPERLINK \l _Toc14079 </w:instrText>
      </w:r>
      <w:r>
        <w:rPr>
          <w:rFonts w:hAnsi="宋体"/>
          <w:highlight w:val="none"/>
        </w:rPr>
        <w:fldChar w:fldCharType="separate"/>
      </w:r>
      <w:r>
        <w:rPr>
          <w:rFonts w:hint="eastAsia" w:ascii="黑体" w:hAnsi="黑体" w:cs="黑体"/>
          <w:szCs w:val="21"/>
          <w:highlight w:val="none"/>
        </w:rPr>
        <w:t>9</w:t>
      </w:r>
      <w:r>
        <w:rPr>
          <w:rFonts w:ascii="黑体" w:hAnsi="黑体" w:cs="黑体"/>
          <w:szCs w:val="21"/>
          <w:highlight w:val="none"/>
        </w:rPr>
        <w:t>.2</w:t>
      </w:r>
      <w:r>
        <w:rPr>
          <w:rFonts w:hint="eastAsia" w:ascii="黑体" w:hAnsi="黑体" w:cs="黑体"/>
          <w:szCs w:val="21"/>
          <w:highlight w:val="none"/>
        </w:rPr>
        <w:t xml:space="preserve"> </w:t>
      </w:r>
      <w:r>
        <w:rPr>
          <w:rFonts w:hint="eastAsia" w:ascii="黑体" w:hAnsi="黑体" w:cs="黑体"/>
          <w:szCs w:val="21"/>
          <w:highlight w:val="none"/>
          <w:lang w:val="en-US" w:eastAsia="zh-CN"/>
        </w:rPr>
        <w:t>基础</w:t>
      </w:r>
      <w:r>
        <w:rPr>
          <w:rFonts w:ascii="黑体" w:hAnsi="黑体" w:cs="黑体"/>
          <w:szCs w:val="21"/>
          <w:highlight w:val="none"/>
        </w:rPr>
        <w:t>工程</w:t>
      </w:r>
      <w:r>
        <w:rPr>
          <w:highlight w:val="none"/>
        </w:rPr>
        <w:tab/>
      </w:r>
      <w:r>
        <w:rPr>
          <w:highlight w:val="none"/>
        </w:rPr>
        <w:fldChar w:fldCharType="begin"/>
      </w:r>
      <w:r>
        <w:rPr>
          <w:highlight w:val="none"/>
        </w:rPr>
        <w:instrText xml:space="preserve"> PAGEREF _Toc14079 \h </w:instrText>
      </w:r>
      <w:r>
        <w:rPr>
          <w:highlight w:val="none"/>
        </w:rPr>
        <w:fldChar w:fldCharType="separate"/>
      </w:r>
      <w:r>
        <w:rPr>
          <w:highlight w:val="none"/>
        </w:rPr>
        <w:t>27</w:t>
      </w:r>
      <w:r>
        <w:rPr>
          <w:highlight w:val="none"/>
        </w:rPr>
        <w:fldChar w:fldCharType="end"/>
      </w:r>
      <w:r>
        <w:rPr>
          <w:rFonts w:hAnsi="宋体"/>
          <w:color w:val="auto"/>
          <w:highlight w:val="none"/>
        </w:rPr>
        <w:fldChar w:fldCharType="end"/>
      </w:r>
    </w:p>
    <w:p w14:paraId="5773192D">
      <w:pPr>
        <w:pStyle w:val="6"/>
        <w:tabs>
          <w:tab w:val="right" w:leader="dot" w:pos="9355"/>
        </w:tabs>
        <w:rPr>
          <w:highlight w:val="none"/>
        </w:rPr>
      </w:pPr>
      <w:r>
        <w:rPr>
          <w:rFonts w:hAnsi="宋体"/>
          <w:color w:val="auto"/>
          <w:highlight w:val="none"/>
        </w:rPr>
        <w:fldChar w:fldCharType="begin"/>
      </w:r>
      <w:r>
        <w:rPr>
          <w:rFonts w:hAnsi="宋体"/>
          <w:highlight w:val="none"/>
        </w:rPr>
        <w:instrText xml:space="preserve"> HYPERLINK \l _Toc25026 </w:instrText>
      </w:r>
      <w:r>
        <w:rPr>
          <w:rFonts w:hAnsi="宋体"/>
          <w:highlight w:val="none"/>
        </w:rPr>
        <w:fldChar w:fldCharType="separate"/>
      </w:r>
      <w:r>
        <w:rPr>
          <w:rFonts w:hint="eastAsia" w:ascii="黑体" w:hAnsi="黑体" w:cs="黑体"/>
          <w:szCs w:val="21"/>
          <w:highlight w:val="none"/>
          <w:lang w:val="en-US" w:eastAsia="zh-CN"/>
        </w:rPr>
        <w:t>9</w:t>
      </w:r>
      <w:r>
        <w:rPr>
          <w:rFonts w:hint="eastAsia" w:ascii="黑体" w:hAnsi="黑体" w:cs="黑体"/>
          <w:szCs w:val="21"/>
          <w:highlight w:val="none"/>
        </w:rPr>
        <w:t>.3</w:t>
      </w:r>
      <w:r>
        <w:rPr>
          <w:rFonts w:hint="eastAsia" w:ascii="黑体" w:hAnsi="黑体" w:cs="黑体"/>
          <w:szCs w:val="21"/>
          <w:highlight w:val="none"/>
          <w:lang w:val="en-US" w:eastAsia="zh-CN"/>
        </w:rPr>
        <w:t xml:space="preserve"> </w:t>
      </w:r>
      <w:r>
        <w:rPr>
          <w:rFonts w:hint="eastAsia" w:ascii="黑体" w:hAnsi="黑体" w:cs="黑体"/>
          <w:szCs w:val="21"/>
          <w:highlight w:val="none"/>
        </w:rPr>
        <w:t>现浇钢筋混凝土结构</w:t>
      </w:r>
      <w:r>
        <w:rPr>
          <w:highlight w:val="none"/>
        </w:rPr>
        <w:tab/>
      </w:r>
      <w:r>
        <w:rPr>
          <w:highlight w:val="none"/>
        </w:rPr>
        <w:fldChar w:fldCharType="begin"/>
      </w:r>
      <w:r>
        <w:rPr>
          <w:highlight w:val="none"/>
        </w:rPr>
        <w:instrText xml:space="preserve"> PAGEREF _Toc25026 \h </w:instrText>
      </w:r>
      <w:r>
        <w:rPr>
          <w:highlight w:val="none"/>
        </w:rPr>
        <w:fldChar w:fldCharType="separate"/>
      </w:r>
      <w:r>
        <w:rPr>
          <w:highlight w:val="none"/>
        </w:rPr>
        <w:t>27</w:t>
      </w:r>
      <w:r>
        <w:rPr>
          <w:highlight w:val="none"/>
        </w:rPr>
        <w:fldChar w:fldCharType="end"/>
      </w:r>
      <w:r>
        <w:rPr>
          <w:rFonts w:hAnsi="宋体"/>
          <w:color w:val="auto"/>
          <w:highlight w:val="none"/>
        </w:rPr>
        <w:fldChar w:fldCharType="end"/>
      </w:r>
    </w:p>
    <w:p w14:paraId="62B2F619">
      <w:pPr>
        <w:pStyle w:val="6"/>
        <w:tabs>
          <w:tab w:val="right" w:leader="dot" w:pos="9355"/>
        </w:tabs>
        <w:rPr>
          <w:highlight w:val="none"/>
        </w:rPr>
      </w:pPr>
      <w:r>
        <w:rPr>
          <w:rFonts w:hAnsi="宋体"/>
          <w:color w:val="auto"/>
          <w:highlight w:val="none"/>
        </w:rPr>
        <w:fldChar w:fldCharType="begin"/>
      </w:r>
      <w:r>
        <w:rPr>
          <w:rFonts w:hAnsi="宋体"/>
          <w:highlight w:val="none"/>
        </w:rPr>
        <w:instrText xml:space="preserve"> HYPERLINK \l _Toc25204 </w:instrText>
      </w:r>
      <w:r>
        <w:rPr>
          <w:rFonts w:hAnsi="宋体"/>
          <w:highlight w:val="none"/>
        </w:rPr>
        <w:fldChar w:fldCharType="separate"/>
      </w:r>
      <w:r>
        <w:rPr>
          <w:rFonts w:hint="eastAsia" w:ascii="黑体" w:hAnsi="黑体" w:cs="黑体"/>
          <w:szCs w:val="21"/>
          <w:highlight w:val="none"/>
          <w:lang w:val="en-US" w:eastAsia="zh-CN"/>
        </w:rPr>
        <w:t>9</w:t>
      </w:r>
      <w:r>
        <w:rPr>
          <w:rFonts w:hint="eastAsia" w:ascii="黑体" w:hAnsi="黑体" w:cs="黑体"/>
          <w:szCs w:val="21"/>
          <w:highlight w:val="none"/>
        </w:rPr>
        <w:t>.4</w:t>
      </w:r>
      <w:r>
        <w:rPr>
          <w:rFonts w:hint="eastAsia" w:ascii="黑体" w:hAnsi="黑体" w:cs="黑体"/>
          <w:szCs w:val="21"/>
          <w:highlight w:val="none"/>
          <w:lang w:val="en-US" w:eastAsia="zh-CN"/>
        </w:rPr>
        <w:t xml:space="preserve"> </w:t>
      </w:r>
      <w:r>
        <w:rPr>
          <w:rFonts w:hint="eastAsia" w:ascii="黑体" w:hAnsi="黑体" w:cs="黑体"/>
          <w:szCs w:val="21"/>
          <w:highlight w:val="none"/>
        </w:rPr>
        <w:t>预制装配式钢筋混凝土结构</w:t>
      </w:r>
      <w:r>
        <w:rPr>
          <w:highlight w:val="none"/>
        </w:rPr>
        <w:tab/>
      </w:r>
      <w:r>
        <w:rPr>
          <w:highlight w:val="none"/>
        </w:rPr>
        <w:fldChar w:fldCharType="begin"/>
      </w:r>
      <w:r>
        <w:rPr>
          <w:highlight w:val="none"/>
        </w:rPr>
        <w:instrText xml:space="preserve"> PAGEREF _Toc25204 \h </w:instrText>
      </w:r>
      <w:r>
        <w:rPr>
          <w:highlight w:val="none"/>
        </w:rPr>
        <w:fldChar w:fldCharType="separate"/>
      </w:r>
      <w:r>
        <w:rPr>
          <w:highlight w:val="none"/>
        </w:rPr>
        <w:t>28</w:t>
      </w:r>
      <w:r>
        <w:rPr>
          <w:highlight w:val="none"/>
        </w:rPr>
        <w:fldChar w:fldCharType="end"/>
      </w:r>
      <w:r>
        <w:rPr>
          <w:rFonts w:hAnsi="宋体"/>
          <w:color w:val="auto"/>
          <w:highlight w:val="none"/>
        </w:rPr>
        <w:fldChar w:fldCharType="end"/>
      </w:r>
    </w:p>
    <w:p w14:paraId="07EB1C92">
      <w:pPr>
        <w:pStyle w:val="6"/>
        <w:tabs>
          <w:tab w:val="right" w:leader="dot" w:pos="9355"/>
        </w:tabs>
        <w:rPr>
          <w:highlight w:val="none"/>
        </w:rPr>
      </w:pPr>
      <w:r>
        <w:rPr>
          <w:rFonts w:hAnsi="宋体"/>
          <w:color w:val="auto"/>
          <w:highlight w:val="none"/>
        </w:rPr>
        <w:fldChar w:fldCharType="begin"/>
      </w:r>
      <w:r>
        <w:rPr>
          <w:rFonts w:hAnsi="宋体"/>
          <w:highlight w:val="none"/>
        </w:rPr>
        <w:instrText xml:space="preserve"> HYPERLINK \l _Toc5085 </w:instrText>
      </w:r>
      <w:r>
        <w:rPr>
          <w:rFonts w:hAnsi="宋体"/>
          <w:highlight w:val="none"/>
        </w:rPr>
        <w:fldChar w:fldCharType="separate"/>
      </w:r>
      <w:r>
        <w:rPr>
          <w:rFonts w:hint="eastAsia" w:ascii="黑体" w:hAnsi="黑体" w:cs="黑体"/>
          <w:szCs w:val="21"/>
          <w:highlight w:val="none"/>
        </w:rPr>
        <w:t>9</w:t>
      </w:r>
      <w:r>
        <w:rPr>
          <w:rFonts w:ascii="黑体" w:hAnsi="黑体" w:cs="黑体"/>
          <w:szCs w:val="21"/>
          <w:highlight w:val="none"/>
        </w:rPr>
        <w:t>.</w:t>
      </w:r>
      <w:r>
        <w:rPr>
          <w:rFonts w:hint="eastAsia" w:ascii="黑体" w:hAnsi="黑体" w:cs="黑体"/>
          <w:szCs w:val="21"/>
          <w:highlight w:val="none"/>
          <w:lang w:val="en-US" w:eastAsia="zh-CN"/>
        </w:rPr>
        <w:t>5</w:t>
      </w:r>
      <w:r>
        <w:rPr>
          <w:rFonts w:hint="eastAsia" w:ascii="黑体" w:hAnsi="黑体" w:cs="黑体"/>
          <w:szCs w:val="21"/>
          <w:highlight w:val="none"/>
        </w:rPr>
        <w:t xml:space="preserve"> </w:t>
      </w:r>
      <w:r>
        <w:rPr>
          <w:rFonts w:hint="eastAsia" w:ascii="黑体" w:hAnsi="黑体" w:cs="黑体"/>
          <w:szCs w:val="21"/>
          <w:highlight w:val="none"/>
          <w:lang w:val="en-US" w:eastAsia="zh-CN"/>
        </w:rPr>
        <w:t>附属</w:t>
      </w:r>
      <w:r>
        <w:rPr>
          <w:rFonts w:hint="eastAsia" w:ascii="黑体" w:hAnsi="黑体" w:cs="黑体"/>
          <w:szCs w:val="21"/>
          <w:highlight w:val="none"/>
        </w:rPr>
        <w:t>工程</w:t>
      </w:r>
      <w:r>
        <w:rPr>
          <w:highlight w:val="none"/>
        </w:rPr>
        <w:tab/>
      </w:r>
      <w:r>
        <w:rPr>
          <w:highlight w:val="none"/>
        </w:rPr>
        <w:fldChar w:fldCharType="begin"/>
      </w:r>
      <w:r>
        <w:rPr>
          <w:highlight w:val="none"/>
        </w:rPr>
        <w:instrText xml:space="preserve"> PAGEREF _Toc5085 \h </w:instrText>
      </w:r>
      <w:r>
        <w:rPr>
          <w:highlight w:val="none"/>
        </w:rPr>
        <w:fldChar w:fldCharType="separate"/>
      </w:r>
      <w:r>
        <w:rPr>
          <w:highlight w:val="none"/>
        </w:rPr>
        <w:t>28</w:t>
      </w:r>
      <w:r>
        <w:rPr>
          <w:highlight w:val="none"/>
        </w:rPr>
        <w:fldChar w:fldCharType="end"/>
      </w:r>
      <w:r>
        <w:rPr>
          <w:rFonts w:hAnsi="宋体"/>
          <w:color w:val="auto"/>
          <w:highlight w:val="none"/>
        </w:rPr>
        <w:fldChar w:fldCharType="end"/>
      </w:r>
    </w:p>
    <w:p w14:paraId="47AE080C">
      <w:pPr>
        <w:pStyle w:val="6"/>
        <w:tabs>
          <w:tab w:val="right" w:leader="dot" w:pos="9355"/>
        </w:tabs>
        <w:rPr>
          <w:highlight w:val="none"/>
        </w:rPr>
      </w:pPr>
      <w:r>
        <w:rPr>
          <w:rFonts w:hAnsi="宋体"/>
          <w:color w:val="auto"/>
          <w:highlight w:val="none"/>
        </w:rPr>
        <w:fldChar w:fldCharType="begin"/>
      </w:r>
      <w:r>
        <w:rPr>
          <w:rFonts w:hAnsi="宋体"/>
          <w:highlight w:val="none"/>
        </w:rPr>
        <w:instrText xml:space="preserve"> HYPERLINK \l _Toc468 </w:instrText>
      </w:r>
      <w:r>
        <w:rPr>
          <w:rFonts w:hAnsi="宋体"/>
          <w:highlight w:val="none"/>
        </w:rPr>
        <w:fldChar w:fldCharType="separate"/>
      </w:r>
      <w:r>
        <w:rPr>
          <w:rFonts w:hint="eastAsia" w:ascii="黑体" w:hAnsi="黑体" w:cs="黑体"/>
          <w:szCs w:val="21"/>
          <w:highlight w:val="none"/>
        </w:rPr>
        <w:t>9</w:t>
      </w:r>
      <w:r>
        <w:rPr>
          <w:rFonts w:ascii="黑体" w:hAnsi="黑体" w:cs="黑体"/>
          <w:szCs w:val="21"/>
          <w:highlight w:val="none"/>
        </w:rPr>
        <w:t>.</w:t>
      </w:r>
      <w:r>
        <w:rPr>
          <w:rFonts w:hint="eastAsia" w:ascii="黑体" w:hAnsi="黑体" w:cs="黑体"/>
          <w:szCs w:val="21"/>
          <w:highlight w:val="none"/>
          <w:lang w:val="en-US" w:eastAsia="zh-CN"/>
        </w:rPr>
        <w:t>6</w:t>
      </w:r>
      <w:r>
        <w:rPr>
          <w:rFonts w:hint="eastAsia" w:ascii="黑体" w:hAnsi="黑体" w:cs="黑体"/>
          <w:szCs w:val="21"/>
          <w:highlight w:val="none"/>
        </w:rPr>
        <w:t xml:space="preserve"> 管线</w:t>
      </w:r>
      <w:r>
        <w:rPr>
          <w:highlight w:val="none"/>
        </w:rPr>
        <w:tab/>
      </w:r>
      <w:r>
        <w:rPr>
          <w:highlight w:val="none"/>
        </w:rPr>
        <w:fldChar w:fldCharType="begin"/>
      </w:r>
      <w:r>
        <w:rPr>
          <w:highlight w:val="none"/>
        </w:rPr>
        <w:instrText xml:space="preserve"> PAGEREF _Toc468 \h </w:instrText>
      </w:r>
      <w:r>
        <w:rPr>
          <w:highlight w:val="none"/>
        </w:rPr>
        <w:fldChar w:fldCharType="separate"/>
      </w:r>
      <w:r>
        <w:rPr>
          <w:highlight w:val="none"/>
        </w:rPr>
        <w:t>29</w:t>
      </w:r>
      <w:r>
        <w:rPr>
          <w:highlight w:val="none"/>
        </w:rPr>
        <w:fldChar w:fldCharType="end"/>
      </w:r>
      <w:r>
        <w:rPr>
          <w:rFonts w:hAnsi="宋体"/>
          <w:color w:val="auto"/>
          <w:highlight w:val="none"/>
        </w:rPr>
        <w:fldChar w:fldCharType="end"/>
      </w:r>
    </w:p>
    <w:p w14:paraId="3EBE57EE">
      <w:pPr>
        <w:pStyle w:val="10"/>
        <w:tabs>
          <w:tab w:val="right" w:leader="dot" w:pos="9355"/>
          <w:tab w:val="clear" w:pos="9344"/>
        </w:tabs>
        <w:rPr>
          <w:highlight w:val="none"/>
        </w:rPr>
      </w:pPr>
      <w:r>
        <w:rPr>
          <w:rFonts w:hAnsi="宋体"/>
          <w:color w:val="auto"/>
          <w:highlight w:val="none"/>
        </w:rPr>
        <w:fldChar w:fldCharType="begin"/>
      </w:r>
      <w:r>
        <w:rPr>
          <w:rFonts w:hAnsi="宋体"/>
          <w:highlight w:val="none"/>
        </w:rPr>
        <w:instrText xml:space="preserve"> HYPERLINK \l _Toc6987 </w:instrText>
      </w:r>
      <w:r>
        <w:rPr>
          <w:rFonts w:hAnsi="宋体"/>
          <w:highlight w:val="none"/>
        </w:rPr>
        <w:fldChar w:fldCharType="separate"/>
      </w:r>
      <w:r>
        <w:rPr>
          <w:rFonts w:hint="eastAsia" w:ascii="黑体" w:hAnsi="黑体"/>
          <w:highlight w:val="none"/>
        </w:rPr>
        <w:t xml:space="preserve">10  </w:t>
      </w:r>
      <w:r>
        <w:rPr>
          <w:rFonts w:hint="eastAsia" w:ascii="黑体" w:hAnsi="黑体"/>
          <w:highlight w:val="none"/>
          <w:lang w:val="en-US" w:eastAsia="zh-CN"/>
        </w:rPr>
        <w:t>运行</w:t>
      </w:r>
      <w:r>
        <w:rPr>
          <w:rFonts w:hint="eastAsia" w:ascii="黑体" w:hAnsi="黑体"/>
          <w:highlight w:val="none"/>
        </w:rPr>
        <w:t>维护管理</w:t>
      </w:r>
      <w:r>
        <w:rPr>
          <w:highlight w:val="none"/>
        </w:rPr>
        <w:tab/>
      </w:r>
      <w:r>
        <w:rPr>
          <w:highlight w:val="none"/>
        </w:rPr>
        <w:fldChar w:fldCharType="begin"/>
      </w:r>
      <w:r>
        <w:rPr>
          <w:highlight w:val="none"/>
        </w:rPr>
        <w:instrText xml:space="preserve"> PAGEREF _Toc6987 \h </w:instrText>
      </w:r>
      <w:r>
        <w:rPr>
          <w:highlight w:val="none"/>
        </w:rPr>
        <w:fldChar w:fldCharType="separate"/>
      </w:r>
      <w:r>
        <w:rPr>
          <w:highlight w:val="none"/>
        </w:rPr>
        <w:t>31</w:t>
      </w:r>
      <w:r>
        <w:rPr>
          <w:highlight w:val="none"/>
        </w:rPr>
        <w:fldChar w:fldCharType="end"/>
      </w:r>
      <w:r>
        <w:rPr>
          <w:rFonts w:hAnsi="宋体"/>
          <w:color w:val="auto"/>
          <w:highlight w:val="none"/>
        </w:rPr>
        <w:fldChar w:fldCharType="end"/>
      </w:r>
    </w:p>
    <w:p w14:paraId="48EAFEE5">
      <w:pPr>
        <w:pStyle w:val="6"/>
        <w:tabs>
          <w:tab w:val="right" w:leader="dot" w:pos="9355"/>
        </w:tabs>
        <w:rPr>
          <w:highlight w:val="none"/>
        </w:rPr>
      </w:pPr>
      <w:r>
        <w:rPr>
          <w:rFonts w:hAnsi="宋体"/>
          <w:color w:val="auto"/>
          <w:highlight w:val="none"/>
        </w:rPr>
        <w:fldChar w:fldCharType="begin"/>
      </w:r>
      <w:r>
        <w:rPr>
          <w:rFonts w:hAnsi="宋体"/>
          <w:highlight w:val="none"/>
        </w:rPr>
        <w:instrText xml:space="preserve"> HYPERLINK \l _Toc9990 </w:instrText>
      </w:r>
      <w:r>
        <w:rPr>
          <w:rFonts w:hAnsi="宋体"/>
          <w:highlight w:val="none"/>
        </w:rPr>
        <w:fldChar w:fldCharType="separate"/>
      </w:r>
      <w:r>
        <w:rPr>
          <w:rFonts w:hint="eastAsia" w:ascii="黑体" w:hAnsi="黑体" w:cs="黑体"/>
          <w:szCs w:val="21"/>
          <w:highlight w:val="none"/>
        </w:rPr>
        <w:t>10.1 维护</w:t>
      </w:r>
      <w:r>
        <w:rPr>
          <w:highlight w:val="none"/>
        </w:rPr>
        <w:tab/>
      </w:r>
      <w:r>
        <w:rPr>
          <w:highlight w:val="none"/>
        </w:rPr>
        <w:fldChar w:fldCharType="begin"/>
      </w:r>
      <w:r>
        <w:rPr>
          <w:highlight w:val="none"/>
        </w:rPr>
        <w:instrText xml:space="preserve"> PAGEREF _Toc9990 \h </w:instrText>
      </w:r>
      <w:r>
        <w:rPr>
          <w:highlight w:val="none"/>
        </w:rPr>
        <w:fldChar w:fldCharType="separate"/>
      </w:r>
      <w:r>
        <w:rPr>
          <w:highlight w:val="none"/>
        </w:rPr>
        <w:t>31</w:t>
      </w:r>
      <w:r>
        <w:rPr>
          <w:highlight w:val="none"/>
        </w:rPr>
        <w:fldChar w:fldCharType="end"/>
      </w:r>
      <w:r>
        <w:rPr>
          <w:rFonts w:hAnsi="宋体"/>
          <w:color w:val="auto"/>
          <w:highlight w:val="none"/>
        </w:rPr>
        <w:fldChar w:fldCharType="end"/>
      </w:r>
    </w:p>
    <w:p w14:paraId="7500FA1D">
      <w:pPr>
        <w:pStyle w:val="6"/>
        <w:tabs>
          <w:tab w:val="right" w:leader="dot" w:pos="9355"/>
        </w:tabs>
        <w:rPr>
          <w:highlight w:val="none"/>
        </w:rPr>
      </w:pPr>
      <w:r>
        <w:rPr>
          <w:rFonts w:hAnsi="宋体"/>
          <w:color w:val="auto"/>
          <w:highlight w:val="none"/>
        </w:rPr>
        <w:fldChar w:fldCharType="begin"/>
      </w:r>
      <w:r>
        <w:rPr>
          <w:rFonts w:hAnsi="宋体"/>
          <w:highlight w:val="none"/>
        </w:rPr>
        <w:instrText xml:space="preserve"> HYPERLINK \l _Toc13542 </w:instrText>
      </w:r>
      <w:r>
        <w:rPr>
          <w:rFonts w:hAnsi="宋体"/>
          <w:highlight w:val="none"/>
        </w:rPr>
        <w:fldChar w:fldCharType="separate"/>
      </w:r>
      <w:r>
        <w:rPr>
          <w:rFonts w:hint="eastAsia" w:ascii="黑体" w:hAnsi="黑体" w:cs="黑体"/>
          <w:szCs w:val="21"/>
          <w:highlight w:val="none"/>
          <w:lang w:val="en-US" w:eastAsia="zh-CN"/>
        </w:rPr>
        <w:t>10.2 巡检</w:t>
      </w:r>
      <w:r>
        <w:rPr>
          <w:highlight w:val="none"/>
        </w:rPr>
        <w:tab/>
      </w:r>
      <w:r>
        <w:rPr>
          <w:highlight w:val="none"/>
        </w:rPr>
        <w:fldChar w:fldCharType="begin"/>
      </w:r>
      <w:r>
        <w:rPr>
          <w:highlight w:val="none"/>
        </w:rPr>
        <w:instrText xml:space="preserve"> PAGEREF _Toc13542 \h </w:instrText>
      </w:r>
      <w:r>
        <w:rPr>
          <w:highlight w:val="none"/>
        </w:rPr>
        <w:fldChar w:fldCharType="separate"/>
      </w:r>
      <w:r>
        <w:rPr>
          <w:highlight w:val="none"/>
        </w:rPr>
        <w:t>32</w:t>
      </w:r>
      <w:r>
        <w:rPr>
          <w:highlight w:val="none"/>
        </w:rPr>
        <w:fldChar w:fldCharType="end"/>
      </w:r>
      <w:r>
        <w:rPr>
          <w:rFonts w:hAnsi="宋体"/>
          <w:color w:val="auto"/>
          <w:highlight w:val="none"/>
        </w:rPr>
        <w:fldChar w:fldCharType="end"/>
      </w:r>
    </w:p>
    <w:p w14:paraId="5EA2A449">
      <w:pPr>
        <w:pStyle w:val="6"/>
        <w:tabs>
          <w:tab w:val="right" w:leader="dot" w:pos="9355"/>
        </w:tabs>
        <w:rPr>
          <w:highlight w:val="none"/>
        </w:rPr>
      </w:pPr>
      <w:r>
        <w:rPr>
          <w:rFonts w:hAnsi="宋体"/>
          <w:color w:val="auto"/>
          <w:highlight w:val="none"/>
        </w:rPr>
        <w:fldChar w:fldCharType="begin"/>
      </w:r>
      <w:r>
        <w:rPr>
          <w:rFonts w:hAnsi="宋体"/>
          <w:highlight w:val="none"/>
        </w:rPr>
        <w:instrText xml:space="preserve"> HYPERLINK \l _Toc3009 </w:instrText>
      </w:r>
      <w:r>
        <w:rPr>
          <w:rFonts w:hAnsi="宋体"/>
          <w:highlight w:val="none"/>
        </w:rPr>
        <w:fldChar w:fldCharType="separate"/>
      </w:r>
      <w:r>
        <w:rPr>
          <w:rFonts w:hint="eastAsia" w:ascii="黑体" w:hAnsi="黑体" w:eastAsia="黑体" w:cs="黑体"/>
          <w:bCs/>
          <w:szCs w:val="21"/>
          <w:highlight w:val="none"/>
          <w:lang w:val="en-US" w:eastAsia="zh-CN"/>
        </w:rPr>
        <w:t>10.3 资料</w:t>
      </w:r>
      <w:r>
        <w:rPr>
          <w:highlight w:val="none"/>
        </w:rPr>
        <w:tab/>
      </w:r>
      <w:r>
        <w:rPr>
          <w:highlight w:val="none"/>
        </w:rPr>
        <w:fldChar w:fldCharType="begin"/>
      </w:r>
      <w:r>
        <w:rPr>
          <w:highlight w:val="none"/>
        </w:rPr>
        <w:instrText xml:space="preserve"> PAGEREF _Toc3009 \h </w:instrText>
      </w:r>
      <w:r>
        <w:rPr>
          <w:highlight w:val="none"/>
        </w:rPr>
        <w:fldChar w:fldCharType="separate"/>
      </w:r>
      <w:r>
        <w:rPr>
          <w:highlight w:val="none"/>
        </w:rPr>
        <w:t>34</w:t>
      </w:r>
      <w:r>
        <w:rPr>
          <w:highlight w:val="none"/>
        </w:rPr>
        <w:fldChar w:fldCharType="end"/>
      </w:r>
      <w:r>
        <w:rPr>
          <w:rFonts w:hAnsi="宋体"/>
          <w:color w:val="auto"/>
          <w:highlight w:val="none"/>
        </w:rPr>
        <w:fldChar w:fldCharType="end"/>
      </w:r>
    </w:p>
    <w:p w14:paraId="7676B87B">
      <w:pPr>
        <w:pStyle w:val="10"/>
        <w:tabs>
          <w:tab w:val="right" w:leader="dot" w:pos="9355"/>
          <w:tab w:val="clear" w:pos="9344"/>
        </w:tabs>
        <w:rPr>
          <w:highlight w:val="none"/>
        </w:rPr>
      </w:pPr>
      <w:r>
        <w:rPr>
          <w:rFonts w:hAnsi="宋体"/>
          <w:color w:val="auto"/>
          <w:highlight w:val="none"/>
        </w:rPr>
        <w:fldChar w:fldCharType="begin"/>
      </w:r>
      <w:r>
        <w:rPr>
          <w:rFonts w:hAnsi="宋体"/>
          <w:highlight w:val="none"/>
        </w:rPr>
        <w:instrText xml:space="preserve"> HYPERLINK \l _Toc2731 </w:instrText>
      </w:r>
      <w:r>
        <w:rPr>
          <w:rFonts w:hAnsi="宋体"/>
          <w:highlight w:val="none"/>
        </w:rPr>
        <w:fldChar w:fldCharType="separate"/>
      </w:r>
      <w:r>
        <w:rPr>
          <w:rFonts w:hint="eastAsia" w:ascii="黑体" w:hAnsi="黑体"/>
          <w:highlight w:val="none"/>
        </w:rPr>
        <w:t>附录</w:t>
      </w:r>
      <w:r>
        <w:rPr>
          <w:rFonts w:hint="eastAsia" w:ascii="黑体" w:hAnsi="黑体"/>
          <w:highlight w:val="none"/>
          <w:lang w:val="en-US" w:eastAsia="zh-CN"/>
        </w:rPr>
        <w:t>A</w:t>
      </w:r>
      <w:r>
        <w:rPr>
          <w:rFonts w:hint="eastAsia" w:ascii="黑体" w:hAnsi="黑体"/>
          <w:highlight w:val="none"/>
        </w:rPr>
        <w:t xml:space="preserve">  小型综合管廊预制拼装标准断面</w:t>
      </w:r>
      <w:r>
        <w:rPr>
          <w:highlight w:val="none"/>
        </w:rPr>
        <w:tab/>
      </w:r>
      <w:r>
        <w:rPr>
          <w:highlight w:val="none"/>
        </w:rPr>
        <w:fldChar w:fldCharType="begin"/>
      </w:r>
      <w:r>
        <w:rPr>
          <w:highlight w:val="none"/>
        </w:rPr>
        <w:instrText xml:space="preserve"> PAGEREF _Toc2731 \h </w:instrText>
      </w:r>
      <w:r>
        <w:rPr>
          <w:highlight w:val="none"/>
        </w:rPr>
        <w:fldChar w:fldCharType="separate"/>
      </w:r>
      <w:r>
        <w:rPr>
          <w:highlight w:val="none"/>
        </w:rPr>
        <w:t>35</w:t>
      </w:r>
      <w:r>
        <w:rPr>
          <w:highlight w:val="none"/>
        </w:rPr>
        <w:fldChar w:fldCharType="end"/>
      </w:r>
      <w:r>
        <w:rPr>
          <w:rFonts w:hAnsi="宋体"/>
          <w:color w:val="auto"/>
          <w:highlight w:val="none"/>
        </w:rPr>
        <w:fldChar w:fldCharType="end"/>
      </w:r>
    </w:p>
    <w:p w14:paraId="11D5E720">
      <w:pPr>
        <w:pStyle w:val="10"/>
        <w:tabs>
          <w:tab w:val="right" w:leader="dot" w:pos="9355"/>
          <w:tab w:val="clear" w:pos="9344"/>
        </w:tabs>
        <w:rPr>
          <w:highlight w:val="none"/>
        </w:rPr>
      </w:pPr>
      <w:r>
        <w:rPr>
          <w:rFonts w:hAnsi="宋体"/>
          <w:color w:val="auto"/>
          <w:highlight w:val="none"/>
        </w:rPr>
        <w:fldChar w:fldCharType="begin"/>
      </w:r>
      <w:r>
        <w:rPr>
          <w:rFonts w:hAnsi="宋体"/>
          <w:highlight w:val="none"/>
        </w:rPr>
        <w:instrText xml:space="preserve"> HYPERLINK \l _Toc13484 </w:instrText>
      </w:r>
      <w:r>
        <w:rPr>
          <w:rFonts w:hAnsi="宋体"/>
          <w:highlight w:val="none"/>
        </w:rPr>
        <w:fldChar w:fldCharType="separate"/>
      </w:r>
      <w:r>
        <w:rPr>
          <w:rFonts w:hint="eastAsia" w:ascii="黑体" w:hAnsi="黑体"/>
          <w:highlight w:val="none"/>
        </w:rPr>
        <w:t>附录</w:t>
      </w:r>
      <w:r>
        <w:rPr>
          <w:rFonts w:hint="eastAsia" w:ascii="黑体" w:hAnsi="黑体"/>
          <w:highlight w:val="none"/>
          <w:lang w:val="en-US" w:eastAsia="zh-CN"/>
        </w:rPr>
        <w:t>B</w:t>
      </w:r>
      <w:r>
        <w:rPr>
          <w:rFonts w:hint="eastAsia" w:ascii="黑体" w:hAnsi="黑体"/>
          <w:highlight w:val="none"/>
        </w:rPr>
        <w:t xml:space="preserve">  小型综合管廊现浇矩形标准断面</w:t>
      </w:r>
      <w:r>
        <w:rPr>
          <w:highlight w:val="none"/>
        </w:rPr>
        <w:tab/>
      </w:r>
      <w:r>
        <w:rPr>
          <w:highlight w:val="none"/>
        </w:rPr>
        <w:fldChar w:fldCharType="begin"/>
      </w:r>
      <w:r>
        <w:rPr>
          <w:highlight w:val="none"/>
        </w:rPr>
        <w:instrText xml:space="preserve"> PAGEREF _Toc13484 \h </w:instrText>
      </w:r>
      <w:r>
        <w:rPr>
          <w:highlight w:val="none"/>
        </w:rPr>
        <w:fldChar w:fldCharType="separate"/>
      </w:r>
      <w:r>
        <w:rPr>
          <w:highlight w:val="none"/>
        </w:rPr>
        <w:t>38</w:t>
      </w:r>
      <w:r>
        <w:rPr>
          <w:highlight w:val="none"/>
        </w:rPr>
        <w:fldChar w:fldCharType="end"/>
      </w:r>
      <w:r>
        <w:rPr>
          <w:rFonts w:hAnsi="宋体"/>
          <w:color w:val="auto"/>
          <w:highlight w:val="none"/>
        </w:rPr>
        <w:fldChar w:fldCharType="end"/>
      </w:r>
    </w:p>
    <w:p w14:paraId="7C262A39">
      <w:pPr>
        <w:pStyle w:val="10"/>
        <w:tabs>
          <w:tab w:val="right" w:leader="dot" w:pos="9355"/>
          <w:tab w:val="clear" w:pos="9344"/>
        </w:tabs>
        <w:rPr>
          <w:highlight w:val="none"/>
        </w:rPr>
      </w:pPr>
      <w:r>
        <w:rPr>
          <w:rFonts w:hAnsi="宋体"/>
          <w:color w:val="auto"/>
          <w:highlight w:val="none"/>
        </w:rPr>
        <w:fldChar w:fldCharType="begin"/>
      </w:r>
      <w:r>
        <w:rPr>
          <w:rFonts w:hAnsi="宋体"/>
          <w:highlight w:val="none"/>
        </w:rPr>
        <w:instrText xml:space="preserve"> HYPERLINK \l _Toc28377 </w:instrText>
      </w:r>
      <w:r>
        <w:rPr>
          <w:rFonts w:hAnsi="宋体"/>
          <w:highlight w:val="none"/>
        </w:rPr>
        <w:fldChar w:fldCharType="separate"/>
      </w:r>
      <w:r>
        <w:rPr>
          <w:rFonts w:hint="eastAsia" w:ascii="黑体" w:hAnsi="黑体" w:eastAsia="宋体"/>
          <w:bCs w:val="0"/>
          <w:szCs w:val="21"/>
          <w:highlight w:val="none"/>
        </w:rPr>
        <w:t>引用标准名录</w:t>
      </w:r>
      <w:r>
        <w:rPr>
          <w:highlight w:val="none"/>
        </w:rPr>
        <w:tab/>
      </w:r>
      <w:r>
        <w:rPr>
          <w:highlight w:val="none"/>
        </w:rPr>
        <w:fldChar w:fldCharType="begin"/>
      </w:r>
      <w:r>
        <w:rPr>
          <w:highlight w:val="none"/>
        </w:rPr>
        <w:instrText xml:space="preserve"> PAGEREF _Toc28377 \h </w:instrText>
      </w:r>
      <w:r>
        <w:rPr>
          <w:highlight w:val="none"/>
        </w:rPr>
        <w:fldChar w:fldCharType="separate"/>
      </w:r>
      <w:r>
        <w:rPr>
          <w:highlight w:val="none"/>
        </w:rPr>
        <w:t>41</w:t>
      </w:r>
      <w:r>
        <w:rPr>
          <w:highlight w:val="none"/>
        </w:rPr>
        <w:fldChar w:fldCharType="end"/>
      </w:r>
      <w:r>
        <w:rPr>
          <w:rFonts w:hAnsi="宋体"/>
          <w:color w:val="auto"/>
          <w:highlight w:val="none"/>
        </w:rPr>
        <w:fldChar w:fldCharType="end"/>
      </w:r>
    </w:p>
    <w:p w14:paraId="67CA6B47">
      <w:pPr>
        <w:rPr>
          <w:rFonts w:hAnsi="宋体"/>
          <w:color w:val="auto"/>
          <w:highlight w:val="none"/>
        </w:rPr>
      </w:pPr>
      <w:r>
        <w:rPr>
          <w:rFonts w:hAnsi="宋体"/>
          <w:color w:val="auto"/>
          <w:highlight w:val="none"/>
        </w:rPr>
        <w:fldChar w:fldCharType="end"/>
      </w:r>
    </w:p>
    <w:p w14:paraId="3201DAA9">
      <w:pPr>
        <w:rPr>
          <w:rFonts w:hAnsi="宋体"/>
          <w:color w:val="auto"/>
          <w:highlight w:val="none"/>
        </w:rPr>
      </w:pPr>
    </w:p>
    <w:p w14:paraId="2A2DEE74">
      <w:pPr>
        <w:rPr>
          <w:rFonts w:hAnsi="宋体"/>
          <w:color w:val="auto"/>
          <w:highlight w:val="none"/>
        </w:rPr>
      </w:pPr>
    </w:p>
    <w:p w14:paraId="7DBDB157">
      <w:pPr>
        <w:rPr>
          <w:rFonts w:hAnsi="宋体"/>
          <w:color w:val="auto"/>
          <w:highlight w:val="none"/>
        </w:rPr>
      </w:pPr>
    </w:p>
    <w:p w14:paraId="6C2FDF3D">
      <w:pPr>
        <w:rPr>
          <w:rFonts w:hAnsi="宋体"/>
          <w:color w:val="auto"/>
          <w:highlight w:val="none"/>
        </w:rPr>
      </w:pPr>
    </w:p>
    <w:p w14:paraId="28C4AB95">
      <w:pPr>
        <w:rPr>
          <w:rFonts w:hAnsi="宋体"/>
          <w:color w:val="auto"/>
          <w:highlight w:val="none"/>
        </w:rPr>
      </w:pPr>
    </w:p>
    <w:p w14:paraId="22F0912E">
      <w:pPr>
        <w:rPr>
          <w:rFonts w:hAnsi="宋体"/>
          <w:color w:val="auto"/>
          <w:highlight w:val="none"/>
        </w:rPr>
      </w:pPr>
    </w:p>
    <w:p w14:paraId="534B60B1">
      <w:pPr>
        <w:rPr>
          <w:rFonts w:hAnsi="宋体"/>
          <w:color w:val="auto"/>
          <w:highlight w:val="none"/>
        </w:rPr>
      </w:pPr>
    </w:p>
    <w:p w14:paraId="0B152E29">
      <w:pPr>
        <w:rPr>
          <w:rFonts w:hAnsi="宋体"/>
          <w:color w:val="auto"/>
          <w:highlight w:val="none"/>
        </w:rPr>
      </w:pPr>
    </w:p>
    <w:p w14:paraId="3BD3DAFE">
      <w:pPr>
        <w:rPr>
          <w:rFonts w:hAnsi="宋体"/>
          <w:color w:val="auto"/>
          <w:highlight w:val="none"/>
        </w:rPr>
      </w:pPr>
    </w:p>
    <w:p w14:paraId="0AE3A698">
      <w:pPr>
        <w:rPr>
          <w:rFonts w:hAnsi="宋体"/>
          <w:color w:val="auto"/>
          <w:highlight w:val="none"/>
        </w:rPr>
      </w:pPr>
    </w:p>
    <w:p w14:paraId="13F128B9">
      <w:pPr>
        <w:rPr>
          <w:rFonts w:hAnsi="宋体"/>
          <w:color w:val="auto"/>
          <w:highlight w:val="none"/>
        </w:rPr>
      </w:pPr>
    </w:p>
    <w:p w14:paraId="3EC0ECFE">
      <w:pPr>
        <w:rPr>
          <w:rFonts w:hAnsi="宋体"/>
          <w:color w:val="auto"/>
          <w:highlight w:val="none"/>
        </w:rPr>
      </w:pPr>
    </w:p>
    <w:p w14:paraId="558B3C97">
      <w:pPr>
        <w:rPr>
          <w:rFonts w:hAnsi="宋体"/>
          <w:color w:val="auto"/>
          <w:highlight w:val="none"/>
        </w:rPr>
      </w:pPr>
    </w:p>
    <w:p w14:paraId="051D7DBA">
      <w:pPr>
        <w:rPr>
          <w:rFonts w:hAnsi="宋体"/>
          <w:color w:val="auto"/>
          <w:highlight w:val="none"/>
        </w:rPr>
      </w:pPr>
    </w:p>
    <w:p w14:paraId="3CE513A1">
      <w:pPr>
        <w:rPr>
          <w:rFonts w:hAnsi="宋体"/>
          <w:color w:val="auto"/>
          <w:highlight w:val="none"/>
        </w:rPr>
      </w:pPr>
    </w:p>
    <w:p w14:paraId="7454470F">
      <w:pPr>
        <w:rPr>
          <w:rFonts w:hAnsi="宋体"/>
          <w:color w:val="auto"/>
          <w:highlight w:val="none"/>
        </w:rPr>
      </w:pPr>
    </w:p>
    <w:p w14:paraId="615B9AA5">
      <w:pPr>
        <w:rPr>
          <w:rFonts w:hAnsi="宋体"/>
          <w:color w:val="auto"/>
          <w:highlight w:val="none"/>
        </w:rPr>
      </w:pPr>
    </w:p>
    <w:p w14:paraId="3FE667F1">
      <w:pPr>
        <w:rPr>
          <w:rFonts w:hAnsi="宋体"/>
          <w:color w:val="auto"/>
          <w:highlight w:val="none"/>
        </w:rPr>
      </w:pPr>
    </w:p>
    <w:p w14:paraId="637D5889">
      <w:pPr>
        <w:rPr>
          <w:rFonts w:hAnsi="宋体"/>
          <w:color w:val="auto"/>
          <w:highlight w:val="none"/>
        </w:rPr>
      </w:pPr>
    </w:p>
    <w:p w14:paraId="02C64E62">
      <w:pPr>
        <w:rPr>
          <w:rFonts w:hAnsi="宋体"/>
          <w:color w:val="auto"/>
          <w:highlight w:val="none"/>
        </w:rPr>
      </w:pPr>
    </w:p>
    <w:p w14:paraId="1A3A4783">
      <w:pPr>
        <w:rPr>
          <w:rFonts w:hAnsi="宋体"/>
          <w:color w:val="auto"/>
          <w:highlight w:val="none"/>
        </w:rPr>
      </w:pPr>
    </w:p>
    <w:p w14:paraId="7CC91110">
      <w:pPr>
        <w:rPr>
          <w:rFonts w:hAnsi="宋体"/>
          <w:color w:val="auto"/>
          <w:highlight w:val="none"/>
        </w:rPr>
      </w:pPr>
    </w:p>
    <w:p w14:paraId="68B65A52">
      <w:pPr>
        <w:rPr>
          <w:rFonts w:hAnsi="宋体"/>
          <w:color w:val="auto"/>
          <w:highlight w:val="none"/>
        </w:rPr>
      </w:pPr>
    </w:p>
    <w:p w14:paraId="74110375">
      <w:pPr>
        <w:rPr>
          <w:rFonts w:hAnsi="宋体"/>
          <w:color w:val="auto"/>
          <w:highlight w:val="none"/>
        </w:rPr>
      </w:pPr>
    </w:p>
    <w:p w14:paraId="37356D97">
      <w:pPr>
        <w:rPr>
          <w:rFonts w:hAnsi="宋体"/>
          <w:color w:val="auto"/>
          <w:highlight w:val="none"/>
        </w:rPr>
      </w:pPr>
    </w:p>
    <w:p w14:paraId="74DE2F9F">
      <w:pPr>
        <w:pStyle w:val="2"/>
        <w:spacing w:before="300" w:after="300" w:line="400" w:lineRule="exact"/>
        <w:jc w:val="center"/>
        <w:rPr>
          <w:rFonts w:ascii="黑体" w:hAnsi="黑体"/>
          <w:b w:val="0"/>
          <w:bCs w:val="0"/>
          <w:color w:val="auto"/>
          <w:highlight w:val="none"/>
        </w:rPr>
      </w:pPr>
      <w:bookmarkStart w:id="15" w:name="_Toc13735"/>
      <w:bookmarkStart w:id="16" w:name="_Toc30115"/>
      <w:bookmarkStart w:id="17" w:name="_Toc6210"/>
      <w:bookmarkStart w:id="18" w:name="_Toc150154398"/>
      <w:bookmarkStart w:id="19" w:name="_Toc507607447"/>
      <w:bookmarkStart w:id="20" w:name="_Toc508002550"/>
      <w:r>
        <w:rPr>
          <w:rFonts w:hint="eastAsia" w:ascii="黑体" w:hAnsi="黑体"/>
          <w:color w:val="auto"/>
          <w:highlight w:val="none"/>
        </w:rPr>
        <w:t>1  总则</w:t>
      </w:r>
      <w:bookmarkEnd w:id="15"/>
      <w:bookmarkEnd w:id="16"/>
      <w:bookmarkEnd w:id="17"/>
      <w:bookmarkEnd w:id="18"/>
      <w:bookmarkEnd w:id="19"/>
      <w:bookmarkEnd w:id="20"/>
    </w:p>
    <w:p w14:paraId="4816A998">
      <w:pPr>
        <w:rPr>
          <w:rFonts w:hint="eastAsia" w:ascii="Times New Roman" w:hAnsi="Times New Roman"/>
          <w:color w:val="auto"/>
          <w:highlight w:val="none"/>
        </w:rPr>
      </w:pPr>
      <w:r>
        <w:rPr>
          <w:rFonts w:hint="eastAsia" w:ascii="黑体" w:hAnsi="黑体" w:eastAsia="黑体" w:cs="黑体"/>
          <w:b/>
          <w:bCs/>
          <w:color w:val="auto"/>
          <w:highlight w:val="none"/>
        </w:rPr>
        <w:t>1.</w:t>
      </w:r>
      <w:r>
        <w:rPr>
          <w:rFonts w:hint="eastAsia" w:ascii="黑体" w:hAnsi="黑体" w:eastAsia="黑体" w:cs="黑体"/>
          <w:b/>
          <w:bCs/>
          <w:color w:val="auto"/>
          <w:highlight w:val="none"/>
          <w:lang w:val="en-US" w:eastAsia="zh-CN"/>
        </w:rPr>
        <w:t>0.</w:t>
      </w:r>
      <w:r>
        <w:rPr>
          <w:rFonts w:hint="eastAsia" w:ascii="黑体" w:hAnsi="黑体" w:eastAsia="黑体" w:cs="黑体"/>
          <w:b/>
          <w:bCs/>
          <w:color w:val="auto"/>
          <w:highlight w:val="none"/>
        </w:rPr>
        <w:t xml:space="preserve">1 </w:t>
      </w:r>
      <w:r>
        <w:rPr>
          <w:rFonts w:hint="eastAsia" w:ascii="Times New Roman" w:hAnsi="Times New Roman" w:eastAsia="黑体"/>
          <w:color w:val="auto"/>
          <w:highlight w:val="none"/>
          <w:lang w:val="en-US" w:eastAsia="zh-CN"/>
        </w:rPr>
        <w:t>为</w:t>
      </w:r>
      <w:r>
        <w:rPr>
          <w:rFonts w:hint="eastAsia" w:ascii="Times New Roman" w:hAnsi="Times New Roman"/>
          <w:color w:val="auto"/>
          <w:highlight w:val="none"/>
        </w:rPr>
        <w:t>集约利用城市建设用地、节约地下空间，提高城市工程管线建设安全与标准，统筹安排城市工程管线在小型综合管廊内的敷设，保证小型综合管廊建设</w:t>
      </w:r>
      <w:r>
        <w:rPr>
          <w:rFonts w:hint="eastAsia" w:ascii="Times New Roman" w:hAnsi="Times New Roman"/>
          <w:color w:val="auto"/>
          <w:highlight w:val="none"/>
          <w:lang w:val="en-US" w:eastAsia="zh-CN"/>
        </w:rPr>
        <w:t>做到</w:t>
      </w:r>
      <w:r>
        <w:rPr>
          <w:rFonts w:hint="eastAsia" w:ascii="宋体" w:hAnsi="宋体" w:cs="宋体"/>
          <w:color w:val="auto"/>
          <w:highlight w:val="none"/>
          <w:lang w:bidi="ar"/>
        </w:rPr>
        <w:t>安全韧性</w:t>
      </w:r>
      <w:r>
        <w:rPr>
          <w:rFonts w:hint="eastAsia" w:ascii="Times New Roman" w:hAnsi="Times New Roman"/>
          <w:color w:val="auto"/>
          <w:highlight w:val="none"/>
        </w:rPr>
        <w:t>、</w:t>
      </w:r>
      <w:r>
        <w:rPr>
          <w:rFonts w:hint="eastAsia" w:ascii="宋体" w:hAnsi="宋体" w:cs="宋体"/>
          <w:color w:val="auto"/>
          <w:highlight w:val="none"/>
          <w:lang w:bidi="ar"/>
        </w:rPr>
        <w:t>经济实用、集约高效、智能绿色、</w:t>
      </w:r>
      <w:r>
        <w:rPr>
          <w:rFonts w:hint="eastAsia" w:ascii="Times New Roman" w:hAnsi="Times New Roman"/>
          <w:color w:val="auto"/>
          <w:highlight w:val="none"/>
        </w:rPr>
        <w:t>便于施工和维护，特制订本技术</w:t>
      </w:r>
      <w:r>
        <w:rPr>
          <w:rFonts w:hint="eastAsia" w:ascii="Times New Roman" w:hAnsi="Times New Roman"/>
          <w:color w:val="auto"/>
          <w:highlight w:val="none"/>
          <w:lang w:eastAsia="zh-CN"/>
        </w:rPr>
        <w:t>规范</w:t>
      </w:r>
      <w:r>
        <w:rPr>
          <w:rFonts w:hint="eastAsia" w:ascii="Times New Roman" w:hAnsi="Times New Roman"/>
          <w:color w:val="auto"/>
          <w:highlight w:val="none"/>
        </w:rPr>
        <w:t>。</w:t>
      </w:r>
    </w:p>
    <w:p w14:paraId="34C6DAFF">
      <w:pPr>
        <w:rPr>
          <w:rFonts w:hint="eastAsia" w:ascii="Times New Roman" w:hAnsi="Times New Roman" w:eastAsia="宋体"/>
          <w:color w:val="auto"/>
          <w:highlight w:val="none"/>
          <w:lang w:eastAsia="zh-CN"/>
        </w:rPr>
      </w:pPr>
      <w:r>
        <w:rPr>
          <w:rFonts w:hint="eastAsia" w:ascii="Times New Roman" w:hAnsi="Times New Roman"/>
          <w:color w:val="auto"/>
          <w:highlight w:val="none"/>
          <w:lang w:eastAsia="zh-CN"/>
        </w:rPr>
        <w:t>【</w:t>
      </w:r>
      <w:r>
        <w:rPr>
          <w:rFonts w:hint="eastAsia"/>
          <w:b/>
          <w:bCs/>
          <w:color w:val="auto"/>
          <w:highlight w:val="none"/>
        </w:rPr>
        <w:t>条文说明：</w:t>
      </w:r>
      <w:r>
        <w:rPr>
          <w:rFonts w:hint="eastAsia" w:ascii="Times New Roman" w:hAnsi="Times New Roman"/>
          <w:color w:val="auto"/>
          <w:highlight w:val="none"/>
          <w:lang w:val="en-US" w:eastAsia="zh-CN"/>
        </w:rPr>
        <w:t>结合《城市地下综合管廊建设规划技术导则》，优化本条内容</w:t>
      </w:r>
      <w:r>
        <w:rPr>
          <w:rFonts w:hint="eastAsia" w:ascii="Times New Roman" w:hAnsi="Times New Roman"/>
          <w:color w:val="auto"/>
          <w:highlight w:val="none"/>
          <w:lang w:eastAsia="zh-CN"/>
        </w:rPr>
        <w:t>】</w:t>
      </w:r>
    </w:p>
    <w:p w14:paraId="7EFD871E">
      <w:pPr>
        <w:rPr>
          <w:rFonts w:ascii="Times New Roman" w:hAnsi="Times New Roman"/>
          <w:color w:val="auto"/>
          <w:highlight w:val="none"/>
        </w:rPr>
      </w:pPr>
      <w:r>
        <w:rPr>
          <w:rFonts w:hint="eastAsia" w:ascii="黑体" w:hAnsi="黑体" w:eastAsia="黑体" w:cs="黑体"/>
          <w:b/>
          <w:bCs/>
          <w:color w:val="auto"/>
          <w:highlight w:val="none"/>
        </w:rPr>
        <w:t>1.</w:t>
      </w:r>
      <w:r>
        <w:rPr>
          <w:rFonts w:hint="eastAsia" w:ascii="黑体" w:hAnsi="黑体" w:eastAsia="黑体" w:cs="黑体"/>
          <w:b/>
          <w:bCs/>
          <w:color w:val="auto"/>
          <w:highlight w:val="none"/>
          <w:lang w:val="en-US" w:eastAsia="zh-CN"/>
        </w:rPr>
        <w:t>0.</w:t>
      </w:r>
      <w:r>
        <w:rPr>
          <w:rFonts w:hint="eastAsia" w:ascii="黑体" w:hAnsi="黑体" w:eastAsia="黑体" w:cs="黑体"/>
          <w:b/>
          <w:bCs/>
          <w:color w:val="auto"/>
          <w:highlight w:val="none"/>
        </w:rPr>
        <w:t xml:space="preserve">2 </w:t>
      </w:r>
      <w:r>
        <w:rPr>
          <w:rFonts w:hint="eastAsia" w:ascii="Times New Roman" w:hAnsi="Times New Roman"/>
          <w:color w:val="auto"/>
          <w:highlight w:val="none"/>
        </w:rPr>
        <w:t>本标准适用于厦门市新建、扩建、改建的小型综合管廊工程的规划、设计、施工及验收、维护管理。</w:t>
      </w:r>
    </w:p>
    <w:p w14:paraId="4A79B619">
      <w:pPr>
        <w:rPr>
          <w:color w:val="auto"/>
          <w:highlight w:val="none"/>
        </w:rPr>
      </w:pPr>
      <w:r>
        <w:rPr>
          <w:rFonts w:hint="eastAsia"/>
          <w:color w:val="auto"/>
          <w:highlight w:val="none"/>
        </w:rPr>
        <w:t>【</w:t>
      </w:r>
      <w:r>
        <w:rPr>
          <w:rFonts w:hint="eastAsia"/>
          <w:b/>
          <w:bCs/>
          <w:color w:val="auto"/>
          <w:highlight w:val="none"/>
        </w:rPr>
        <w:t>条文说明：</w:t>
      </w:r>
      <w:r>
        <w:rPr>
          <w:rFonts w:hint="eastAsia"/>
          <w:color w:val="auto"/>
          <w:highlight w:val="none"/>
        </w:rPr>
        <w:t>本标准总结了厦门市综合管廊建设和运维经验，根据管线需求和建设条件，建设形成一个多层级的综合管廊环网系统，充分发挥综合管廊综合效益。其中小型综合管廊具有浅埋、断面紧凑、附属设施少、造价低的特点，结合新城区开发、城市更新、道路及管网改造、架空线入地等需求，编制具有较好适应性和指导性的设计标准，用于指导厦门市小型综合管廊建设。】</w:t>
      </w:r>
    </w:p>
    <w:p w14:paraId="28751A7A">
      <w:pPr>
        <w:rPr>
          <w:rFonts w:ascii="Times New Roman" w:hAnsi="Times New Roman"/>
          <w:color w:val="auto"/>
          <w:highlight w:val="none"/>
        </w:rPr>
      </w:pPr>
      <w:r>
        <w:rPr>
          <w:rFonts w:hint="eastAsia" w:ascii="黑体" w:hAnsi="黑体" w:eastAsia="黑体" w:cs="黑体"/>
          <w:b/>
          <w:bCs/>
          <w:color w:val="auto"/>
          <w:highlight w:val="none"/>
        </w:rPr>
        <w:t>1.</w:t>
      </w:r>
      <w:r>
        <w:rPr>
          <w:rFonts w:hint="eastAsia" w:ascii="黑体" w:hAnsi="黑体" w:eastAsia="黑体" w:cs="黑体"/>
          <w:b/>
          <w:bCs/>
          <w:color w:val="auto"/>
          <w:highlight w:val="none"/>
          <w:lang w:val="en-US" w:eastAsia="zh-CN"/>
        </w:rPr>
        <w:t>0.</w:t>
      </w:r>
      <w:r>
        <w:rPr>
          <w:rFonts w:hint="eastAsia" w:ascii="黑体" w:hAnsi="黑体" w:eastAsia="黑体" w:cs="黑体"/>
          <w:b/>
          <w:bCs/>
          <w:color w:val="auto"/>
          <w:highlight w:val="none"/>
        </w:rPr>
        <w:t>3</w:t>
      </w:r>
      <w:r>
        <w:rPr>
          <w:rFonts w:hint="eastAsia" w:ascii="Times New Roman" w:hAnsi="Times New Roman"/>
          <w:color w:val="auto"/>
          <w:highlight w:val="none"/>
        </w:rPr>
        <w:t>小型综合管廊工程建设应遵循“规划先行、适度超前、因地制宜、统筹兼顾”的原则，充分发挥小型综合管廊的综合效益。</w:t>
      </w:r>
    </w:p>
    <w:p w14:paraId="6FB3652D">
      <w:pPr>
        <w:rPr>
          <w:rFonts w:ascii="Times New Roman" w:hAnsi="Times New Roman"/>
          <w:color w:val="auto"/>
          <w:highlight w:val="none"/>
        </w:rPr>
      </w:pPr>
      <w:r>
        <w:rPr>
          <w:rFonts w:hint="eastAsia" w:ascii="黑体" w:hAnsi="黑体" w:eastAsia="黑体" w:cs="黑体"/>
          <w:b/>
          <w:bCs/>
          <w:color w:val="auto"/>
          <w:highlight w:val="none"/>
        </w:rPr>
        <w:t>1.</w:t>
      </w:r>
      <w:r>
        <w:rPr>
          <w:rFonts w:hint="eastAsia" w:ascii="黑体" w:hAnsi="黑体" w:eastAsia="黑体" w:cs="黑体"/>
          <w:b/>
          <w:bCs/>
          <w:color w:val="auto"/>
          <w:highlight w:val="none"/>
          <w:lang w:val="en-US" w:eastAsia="zh-CN"/>
        </w:rPr>
        <w:t>0.</w:t>
      </w:r>
      <w:r>
        <w:rPr>
          <w:rFonts w:hint="eastAsia" w:ascii="黑体" w:hAnsi="黑体" w:eastAsia="黑体" w:cs="黑体"/>
          <w:b/>
          <w:bCs/>
          <w:color w:val="auto"/>
          <w:highlight w:val="none"/>
        </w:rPr>
        <w:t xml:space="preserve">4 </w:t>
      </w:r>
      <w:r>
        <w:rPr>
          <w:rFonts w:hint="eastAsia" w:ascii="Times New Roman" w:hAnsi="Times New Roman"/>
          <w:color w:val="auto"/>
          <w:highlight w:val="none"/>
        </w:rPr>
        <w:t>小型综合管廊工程的规划、设计、施工及验收、维护管理，除应符合本规范外，尚应符合国家现行有关标准的规定。</w:t>
      </w:r>
    </w:p>
    <w:p w14:paraId="3C9B6D3F">
      <w:pPr>
        <w:adjustRightInd/>
        <w:spacing w:line="360" w:lineRule="auto"/>
        <w:rPr>
          <w:rFonts w:ascii="Times New Roman" w:hAnsi="Times New Roman" w:eastAsiaTheme="minorEastAsia"/>
          <w:bCs/>
          <w:color w:val="auto"/>
          <w:sz w:val="28"/>
          <w:szCs w:val="32"/>
          <w:highlight w:val="none"/>
        </w:rPr>
      </w:pPr>
      <w:r>
        <w:rPr>
          <w:rFonts w:ascii="Times New Roman" w:hAnsi="Times New Roman" w:eastAsiaTheme="minorEastAsia"/>
          <w:color w:val="auto"/>
          <w:highlight w:val="none"/>
        </w:rPr>
        <w:br w:type="page"/>
      </w:r>
    </w:p>
    <w:p w14:paraId="31BAEF91">
      <w:pPr>
        <w:pStyle w:val="2"/>
        <w:spacing w:before="300" w:after="300" w:line="400" w:lineRule="exact"/>
        <w:jc w:val="center"/>
        <w:rPr>
          <w:rFonts w:ascii="黑体" w:hAnsi="黑体"/>
          <w:color w:val="auto"/>
          <w:highlight w:val="none"/>
        </w:rPr>
      </w:pPr>
      <w:bookmarkStart w:id="21" w:name="_Toc150154399"/>
      <w:bookmarkStart w:id="22" w:name="_Toc508002551"/>
      <w:bookmarkStart w:id="23" w:name="_Toc507607448"/>
      <w:bookmarkStart w:id="24" w:name="_Toc324"/>
      <w:bookmarkStart w:id="25" w:name="_Toc16006"/>
      <w:bookmarkStart w:id="26" w:name="_Toc24992"/>
      <w:bookmarkStart w:id="27" w:name="_Toc508002552"/>
      <w:bookmarkStart w:id="28" w:name="_Toc507607449"/>
      <w:r>
        <w:rPr>
          <w:rFonts w:hint="eastAsia" w:ascii="黑体" w:hAnsi="黑体"/>
          <w:color w:val="auto"/>
          <w:highlight w:val="none"/>
        </w:rPr>
        <w:t xml:space="preserve">2  </w:t>
      </w:r>
      <w:bookmarkEnd w:id="21"/>
      <w:bookmarkEnd w:id="22"/>
      <w:bookmarkEnd w:id="23"/>
      <w:r>
        <w:rPr>
          <w:rFonts w:hint="eastAsia" w:ascii="黑体" w:hAnsi="黑体"/>
          <w:color w:val="auto"/>
          <w:highlight w:val="none"/>
        </w:rPr>
        <w:t>术语</w:t>
      </w:r>
      <w:bookmarkEnd w:id="24"/>
      <w:bookmarkEnd w:id="25"/>
      <w:bookmarkEnd w:id="26"/>
    </w:p>
    <w:p w14:paraId="29D20824">
      <w:pPr>
        <w:pStyle w:val="34"/>
        <w:spacing w:before="156" w:beforeLines="50" w:after="156" w:afterLines="50" w:line="400" w:lineRule="exact"/>
        <w:outlineLvl w:val="2"/>
        <w:rPr>
          <w:rFonts w:ascii="黑体" w:hAnsi="黑体" w:cs="黑体"/>
          <w:color w:val="auto"/>
          <w:sz w:val="21"/>
          <w:szCs w:val="21"/>
          <w:highlight w:val="none"/>
        </w:rPr>
      </w:pPr>
      <w:bookmarkStart w:id="29" w:name="_Toc18235"/>
      <w:bookmarkStart w:id="30" w:name="_Toc23104"/>
      <w:bookmarkStart w:id="31" w:name="_Toc16277"/>
      <w:bookmarkStart w:id="32" w:name="_Toc12882"/>
      <w:bookmarkStart w:id="33" w:name="_Toc165020548"/>
      <w:r>
        <w:rPr>
          <w:rFonts w:hint="eastAsia" w:ascii="黑体" w:hAnsi="黑体" w:cs="黑体"/>
          <w:color w:val="auto"/>
          <w:sz w:val="21"/>
          <w:szCs w:val="21"/>
          <w:highlight w:val="none"/>
        </w:rPr>
        <w:t>2.</w:t>
      </w:r>
      <w:r>
        <w:rPr>
          <w:rFonts w:hint="eastAsia" w:ascii="黑体" w:hAnsi="黑体" w:cs="黑体"/>
          <w:color w:val="auto"/>
          <w:sz w:val="21"/>
          <w:szCs w:val="21"/>
          <w:highlight w:val="none"/>
          <w:lang w:val="en-US" w:eastAsia="zh-CN"/>
        </w:rPr>
        <w:t>0.</w:t>
      </w:r>
      <w:r>
        <w:rPr>
          <w:rFonts w:hint="eastAsia" w:ascii="黑体" w:hAnsi="黑体" w:cs="黑体"/>
          <w:color w:val="auto"/>
          <w:sz w:val="21"/>
          <w:szCs w:val="21"/>
          <w:highlight w:val="none"/>
        </w:rPr>
        <w:t xml:space="preserve">1 综合管廊   </w:t>
      </w:r>
      <w:r>
        <w:rPr>
          <w:rFonts w:ascii="Times New Roman" w:hAnsi="Times New Roman"/>
          <w:b w:val="0"/>
          <w:bCs w:val="0"/>
          <w:color w:val="auto"/>
          <w:sz w:val="21"/>
          <w:szCs w:val="21"/>
          <w:highlight w:val="none"/>
        </w:rPr>
        <w:t>utility tunnel</w:t>
      </w:r>
      <w:bookmarkEnd w:id="29"/>
      <w:bookmarkEnd w:id="30"/>
      <w:bookmarkEnd w:id="31"/>
      <w:bookmarkEnd w:id="32"/>
    </w:p>
    <w:p w14:paraId="2A3E13A6">
      <w:pPr>
        <w:ind w:firstLine="567"/>
        <w:rPr>
          <w:rFonts w:hint="eastAsia" w:ascii="Times New Roman" w:hAnsi="Times New Roman"/>
          <w:color w:val="auto"/>
          <w:highlight w:val="none"/>
        </w:rPr>
      </w:pPr>
      <w:r>
        <w:rPr>
          <w:rFonts w:hint="eastAsia" w:ascii="Times New Roman" w:hAnsi="Times New Roman"/>
          <w:color w:val="auto"/>
          <w:highlight w:val="none"/>
        </w:rPr>
        <w:t>建于城市地下用于容纳两类及以上城市工程管线、内部空间能够满足人员通行的构筑物及附属设施。包括干线综合管廊、支线综合管廊和小型综合管廊三类。</w:t>
      </w:r>
    </w:p>
    <w:p w14:paraId="67B8EC47">
      <w:pPr>
        <w:pStyle w:val="34"/>
        <w:spacing w:before="156" w:beforeLines="50" w:after="156" w:afterLines="50" w:line="400" w:lineRule="exact"/>
        <w:outlineLvl w:val="2"/>
        <w:rPr>
          <w:rFonts w:hint="eastAsia" w:ascii="黑体" w:hAnsi="黑体" w:cs="黑体"/>
          <w:color w:val="auto"/>
          <w:sz w:val="21"/>
          <w:szCs w:val="21"/>
          <w:highlight w:val="none"/>
        </w:rPr>
      </w:pPr>
      <w:bookmarkStart w:id="34" w:name="_Toc2295"/>
      <w:bookmarkStart w:id="35" w:name="_Toc30089"/>
      <w:r>
        <w:rPr>
          <w:rFonts w:hint="eastAsia" w:ascii="黑体" w:hAnsi="黑体" w:cs="黑体"/>
          <w:color w:val="auto"/>
          <w:sz w:val="21"/>
          <w:szCs w:val="21"/>
          <w:highlight w:val="none"/>
        </w:rPr>
        <w:t>2.0.2 干线综合管廊</w:t>
      </w:r>
      <w:r>
        <w:rPr>
          <w:rFonts w:ascii="黑体" w:hAnsi="黑体" w:cs="黑体"/>
          <w:color w:val="auto"/>
          <w:sz w:val="21"/>
          <w:szCs w:val="21"/>
          <w:highlight w:val="none"/>
        </w:rPr>
        <w:tab/>
      </w:r>
      <w:r>
        <w:rPr>
          <w:rFonts w:hint="eastAsia" w:ascii="Times New Roman" w:hAnsi="Times New Roman"/>
          <w:b w:val="0"/>
          <w:bCs w:val="0"/>
          <w:color w:val="auto"/>
          <w:sz w:val="21"/>
          <w:szCs w:val="21"/>
          <w:highlight w:val="none"/>
        </w:rPr>
        <w:t>trunk utility tunnel</w:t>
      </w:r>
      <w:bookmarkEnd w:id="34"/>
      <w:bookmarkEnd w:id="35"/>
    </w:p>
    <w:p w14:paraId="75631E14">
      <w:pPr>
        <w:ind w:firstLine="567"/>
        <w:rPr>
          <w:rFonts w:ascii="Times New Roman" w:hAnsi="Times New Roman"/>
          <w:color w:val="auto"/>
          <w:highlight w:val="none"/>
        </w:rPr>
      </w:pPr>
      <w:r>
        <w:rPr>
          <w:rFonts w:hint="eastAsia" w:ascii="Times New Roman" w:hAnsi="Times New Roman"/>
          <w:color w:val="auto"/>
          <w:highlight w:val="none"/>
        </w:rPr>
        <w:t>主要容纳城市主干工程管线，一般不直接向沿线用户提供服务的综合管廊。</w:t>
      </w:r>
    </w:p>
    <w:p w14:paraId="5F03DBD8">
      <w:pPr>
        <w:pStyle w:val="34"/>
        <w:spacing w:before="156" w:beforeLines="50" w:after="156" w:afterLines="50" w:line="400" w:lineRule="exact"/>
        <w:outlineLvl w:val="2"/>
        <w:rPr>
          <w:rFonts w:hint="eastAsia" w:ascii="黑体" w:hAnsi="黑体" w:cs="黑体"/>
          <w:color w:val="auto"/>
          <w:sz w:val="21"/>
          <w:szCs w:val="21"/>
          <w:highlight w:val="none"/>
        </w:rPr>
      </w:pPr>
      <w:bookmarkStart w:id="36" w:name="_Toc17379"/>
      <w:bookmarkStart w:id="37" w:name="_Toc11969"/>
      <w:r>
        <w:rPr>
          <w:rFonts w:hint="eastAsia" w:ascii="黑体" w:hAnsi="黑体" w:cs="黑体"/>
          <w:color w:val="auto"/>
          <w:sz w:val="21"/>
          <w:szCs w:val="21"/>
          <w:highlight w:val="none"/>
        </w:rPr>
        <w:t>2.0.3 支线综合管廊</w:t>
      </w:r>
      <w:r>
        <w:rPr>
          <w:rFonts w:ascii="黑体" w:hAnsi="黑体" w:cs="黑体"/>
          <w:color w:val="auto"/>
          <w:sz w:val="21"/>
          <w:szCs w:val="21"/>
          <w:highlight w:val="none"/>
        </w:rPr>
        <w:tab/>
      </w:r>
      <w:r>
        <w:rPr>
          <w:rFonts w:hint="eastAsia" w:ascii="Times New Roman" w:hAnsi="Times New Roman"/>
          <w:b w:val="0"/>
          <w:bCs w:val="0"/>
          <w:color w:val="auto"/>
          <w:sz w:val="21"/>
          <w:szCs w:val="21"/>
          <w:highlight w:val="none"/>
        </w:rPr>
        <w:t>branch utility tunnel</w:t>
      </w:r>
      <w:bookmarkEnd w:id="36"/>
      <w:bookmarkEnd w:id="37"/>
    </w:p>
    <w:p w14:paraId="0579CFB1">
      <w:pPr>
        <w:ind w:firstLine="567"/>
        <w:rPr>
          <w:rFonts w:ascii="Times New Roman" w:hAnsi="Times New Roman"/>
          <w:color w:val="auto"/>
          <w:highlight w:val="none"/>
        </w:rPr>
      </w:pPr>
      <w:r>
        <w:rPr>
          <w:rFonts w:hint="eastAsia" w:ascii="Times New Roman" w:hAnsi="Times New Roman"/>
          <w:color w:val="auto"/>
          <w:highlight w:val="none"/>
        </w:rPr>
        <w:t>主要容纳城市配给工程管线，直接向用户提供服务的综合管廊。</w:t>
      </w:r>
    </w:p>
    <w:p w14:paraId="6B8553CE">
      <w:pPr>
        <w:pStyle w:val="34"/>
        <w:spacing w:before="156" w:beforeLines="50" w:after="156" w:afterLines="50" w:line="400" w:lineRule="exact"/>
        <w:outlineLvl w:val="2"/>
        <w:rPr>
          <w:rFonts w:ascii="黑体" w:hAnsi="黑体" w:cs="黑体"/>
          <w:color w:val="auto"/>
          <w:sz w:val="21"/>
          <w:szCs w:val="21"/>
          <w:highlight w:val="none"/>
        </w:rPr>
      </w:pPr>
      <w:bookmarkStart w:id="38" w:name="_Toc9452"/>
      <w:bookmarkStart w:id="39" w:name="_Toc10538"/>
      <w:bookmarkStart w:id="40" w:name="_Toc19140"/>
      <w:bookmarkStart w:id="41" w:name="_Toc21973"/>
      <w:r>
        <w:rPr>
          <w:rFonts w:hint="eastAsia" w:ascii="黑体" w:hAnsi="黑体" w:cs="黑体"/>
          <w:color w:val="auto"/>
          <w:sz w:val="21"/>
          <w:szCs w:val="21"/>
          <w:highlight w:val="none"/>
        </w:rPr>
        <w:t>2.</w:t>
      </w:r>
      <w:r>
        <w:rPr>
          <w:rFonts w:hint="eastAsia" w:ascii="黑体" w:hAnsi="黑体" w:cs="黑体"/>
          <w:color w:val="auto"/>
          <w:sz w:val="21"/>
          <w:szCs w:val="21"/>
          <w:highlight w:val="none"/>
          <w:lang w:val="en-US" w:eastAsia="zh-CN"/>
        </w:rPr>
        <w:t>0.4</w:t>
      </w:r>
      <w:r>
        <w:rPr>
          <w:rFonts w:hint="eastAsia" w:ascii="黑体" w:hAnsi="黑体" w:cs="黑体"/>
          <w:color w:val="auto"/>
          <w:sz w:val="21"/>
          <w:szCs w:val="21"/>
          <w:highlight w:val="none"/>
        </w:rPr>
        <w:t xml:space="preserve"> 小型综合管廊</w:t>
      </w:r>
      <w:bookmarkEnd w:id="33"/>
      <w:r>
        <w:rPr>
          <w:rFonts w:hint="eastAsia" w:ascii="黑体" w:hAnsi="黑体" w:cs="黑体"/>
          <w:color w:val="auto"/>
          <w:sz w:val="21"/>
          <w:szCs w:val="21"/>
          <w:highlight w:val="none"/>
        </w:rPr>
        <w:t xml:space="preserve"> </w:t>
      </w:r>
      <w:r>
        <w:rPr>
          <w:rFonts w:hint="eastAsia" w:ascii="Times New Roman" w:hAnsi="Times New Roman"/>
          <w:b w:val="0"/>
          <w:bCs w:val="0"/>
          <w:color w:val="auto"/>
          <w:sz w:val="21"/>
          <w:szCs w:val="21"/>
          <w:highlight w:val="none"/>
        </w:rPr>
        <w:t>small utility tunnel</w:t>
      </w:r>
      <w:bookmarkEnd w:id="38"/>
      <w:bookmarkEnd w:id="39"/>
      <w:bookmarkEnd w:id="40"/>
      <w:bookmarkEnd w:id="41"/>
    </w:p>
    <w:p w14:paraId="74ED06A3">
      <w:pPr>
        <w:ind w:firstLine="567"/>
        <w:rPr>
          <w:rFonts w:hint="eastAsia" w:ascii="Times New Roman" w:hAnsi="Times New Roman"/>
          <w:color w:val="auto"/>
          <w:highlight w:val="none"/>
        </w:rPr>
      </w:pPr>
      <w:r>
        <w:rPr>
          <w:rFonts w:hint="eastAsia" w:ascii="Times New Roman" w:hAnsi="Times New Roman"/>
          <w:color w:val="auto"/>
          <w:highlight w:val="none"/>
        </w:rPr>
        <w:t>用于容纳小规模管网或末端配给工程管线，直接向用户提供服务的综合管廊。</w:t>
      </w:r>
    </w:p>
    <w:p w14:paraId="2488342B">
      <w:pPr>
        <w:ind w:firstLine="567"/>
        <w:rPr>
          <w:rFonts w:hint="eastAsia" w:ascii="Times New Roman" w:hAnsi="Times New Roman"/>
          <w:color w:val="auto"/>
          <w:highlight w:val="none"/>
        </w:rPr>
      </w:pPr>
      <w:r>
        <w:rPr>
          <w:rFonts w:hint="eastAsia" w:ascii="Times New Roman" w:hAnsi="Times New Roman"/>
          <w:b/>
          <w:color w:val="auto"/>
          <w:highlight w:val="none"/>
        </w:rPr>
        <w:t>【条文说明：</w:t>
      </w:r>
      <w:r>
        <w:rPr>
          <w:rFonts w:hint="eastAsia" w:ascii="Times New Roman" w:hAnsi="Times New Roman"/>
          <w:b/>
          <w:color w:val="auto"/>
          <w:highlight w:val="none"/>
          <w:lang w:val="en-US" w:eastAsia="zh-CN"/>
        </w:rPr>
        <w:t>1、</w:t>
      </w:r>
      <w:r>
        <w:rPr>
          <w:rFonts w:hint="eastAsia" w:ascii="黑体" w:hAnsi="黑体" w:cs="黑体"/>
          <w:color w:val="auto"/>
          <w:sz w:val="21"/>
          <w:szCs w:val="21"/>
          <w:highlight w:val="none"/>
        </w:rPr>
        <w:t>小规模管网</w:t>
      </w:r>
      <w:r>
        <w:rPr>
          <w:rFonts w:hint="eastAsia" w:ascii="黑体" w:hAnsi="黑体" w:cs="黑体"/>
          <w:color w:val="auto"/>
          <w:sz w:val="21"/>
          <w:szCs w:val="21"/>
          <w:highlight w:val="none"/>
          <w:lang w:val="en-US" w:eastAsia="zh-CN"/>
        </w:rPr>
        <w:t>指服务范围较小或以局部区域资源输送为主的</w:t>
      </w:r>
      <w:r>
        <w:rPr>
          <w:rFonts w:hint="eastAsia" w:ascii="黑体" w:hAnsi="黑体" w:cs="黑体"/>
          <w:color w:val="auto"/>
          <w:highlight w:val="none"/>
        </w:rPr>
        <w:t>的市政管网</w:t>
      </w:r>
      <w:r>
        <w:rPr>
          <w:rFonts w:hint="eastAsia" w:ascii="黑体" w:hAnsi="黑体" w:cs="黑体"/>
          <w:color w:val="auto"/>
          <w:sz w:val="21"/>
          <w:szCs w:val="21"/>
          <w:highlight w:val="none"/>
          <w:lang w:val="en-US" w:eastAsia="zh-CN"/>
        </w:rPr>
        <w:t>；2、</w:t>
      </w:r>
      <w:r>
        <w:rPr>
          <w:rFonts w:hint="eastAsia" w:ascii="黑体" w:hAnsi="黑体" w:cs="黑体"/>
          <w:color w:val="auto"/>
          <w:sz w:val="21"/>
          <w:szCs w:val="21"/>
          <w:highlight w:val="none"/>
        </w:rPr>
        <w:t>末端配给工程管线</w:t>
      </w:r>
      <w:r>
        <w:rPr>
          <w:rFonts w:hint="eastAsia" w:ascii="黑体" w:hAnsi="黑体" w:cs="黑体"/>
          <w:color w:val="auto"/>
          <w:sz w:val="21"/>
          <w:szCs w:val="21"/>
          <w:highlight w:val="none"/>
          <w:lang w:val="en-US" w:eastAsia="zh-CN"/>
        </w:rPr>
        <w:t>指</w:t>
      </w:r>
      <w:r>
        <w:rPr>
          <w:rFonts w:ascii="Helvetica" w:hAnsi="Helvetica" w:cs="Helvetica"/>
          <w:color w:val="auto"/>
          <w:spacing w:val="4"/>
          <w:highlight w:val="none"/>
          <w:shd w:val="clear" w:color="auto" w:fill="FFFFFF"/>
        </w:rPr>
        <w:t>直接向用户提供服务的管线</w:t>
      </w:r>
      <w:r>
        <w:rPr>
          <w:rFonts w:hint="eastAsia" w:ascii="Helvetica" w:hAnsi="Helvetica" w:cs="Helvetica"/>
          <w:color w:val="auto"/>
          <w:spacing w:val="4"/>
          <w:highlight w:val="none"/>
          <w:shd w:val="clear" w:color="auto" w:fill="FFFFFF"/>
        </w:rPr>
        <w:t>，位于城市配给网络的末端，直接连接到用户端，满足用户的日常需求。</w:t>
      </w:r>
      <w:r>
        <w:rPr>
          <w:rFonts w:hint="eastAsia" w:ascii="Times New Roman" w:hAnsi="Times New Roman"/>
          <w:color w:val="auto"/>
          <w:highlight w:val="none"/>
        </w:rPr>
        <w:t>】</w:t>
      </w:r>
    </w:p>
    <w:p w14:paraId="2BC1F0C3">
      <w:pPr>
        <w:pStyle w:val="34"/>
        <w:spacing w:before="156" w:beforeLines="50" w:after="156" w:afterLines="50" w:line="400" w:lineRule="exact"/>
        <w:outlineLvl w:val="2"/>
        <w:rPr>
          <w:rFonts w:ascii="Times New Roman" w:hAnsi="Times New Roman"/>
          <w:b w:val="0"/>
          <w:bCs w:val="0"/>
          <w:color w:val="auto"/>
          <w:sz w:val="21"/>
          <w:szCs w:val="21"/>
          <w:highlight w:val="none"/>
        </w:rPr>
      </w:pPr>
      <w:bookmarkStart w:id="42" w:name="_Toc25988"/>
      <w:bookmarkStart w:id="43" w:name="_Toc9476"/>
      <w:r>
        <w:rPr>
          <w:rFonts w:hint="eastAsia" w:ascii="黑体" w:hAnsi="黑体" w:cs="黑体"/>
          <w:color w:val="auto"/>
          <w:sz w:val="21"/>
          <w:szCs w:val="21"/>
          <w:highlight w:val="none"/>
        </w:rPr>
        <w:t>2.0.5 城市工程管线</w:t>
      </w:r>
      <w:r>
        <w:rPr>
          <w:rFonts w:ascii="黑体" w:hAnsi="黑体" w:cs="黑体"/>
          <w:color w:val="auto"/>
          <w:sz w:val="21"/>
          <w:szCs w:val="21"/>
          <w:highlight w:val="none"/>
        </w:rPr>
        <w:tab/>
      </w:r>
      <w:r>
        <w:rPr>
          <w:rFonts w:ascii="Times New Roman" w:hAnsi="Times New Roman"/>
          <w:b w:val="0"/>
          <w:bCs w:val="0"/>
          <w:color w:val="auto"/>
          <w:sz w:val="21"/>
          <w:szCs w:val="21"/>
          <w:highlight w:val="none"/>
        </w:rPr>
        <w:t>urban engineering</w:t>
      </w:r>
      <w:r>
        <w:rPr>
          <w:rFonts w:hint="eastAsia" w:ascii="Times New Roman" w:hAnsi="Times New Roman"/>
          <w:b w:val="0"/>
          <w:bCs w:val="0"/>
          <w:color w:val="auto"/>
          <w:sz w:val="21"/>
          <w:szCs w:val="21"/>
          <w:highlight w:val="none"/>
        </w:rPr>
        <w:t xml:space="preserve"> </w:t>
      </w:r>
      <w:r>
        <w:rPr>
          <w:rFonts w:ascii="Times New Roman" w:hAnsi="Times New Roman"/>
          <w:b w:val="0"/>
          <w:bCs w:val="0"/>
          <w:color w:val="auto"/>
          <w:sz w:val="21"/>
          <w:szCs w:val="21"/>
          <w:highlight w:val="none"/>
        </w:rPr>
        <w:t>pipeline</w:t>
      </w:r>
      <w:bookmarkEnd w:id="42"/>
      <w:bookmarkEnd w:id="43"/>
    </w:p>
    <w:p w14:paraId="50361C14">
      <w:pPr>
        <w:ind w:firstLine="567"/>
        <w:rPr>
          <w:rFonts w:ascii="Times New Roman" w:hAnsi="Times New Roman"/>
          <w:color w:val="auto"/>
          <w:highlight w:val="none"/>
        </w:rPr>
      </w:pPr>
      <w:r>
        <w:rPr>
          <w:rFonts w:hint="eastAsia" w:ascii="Times New Roman" w:hAnsi="Times New Roman"/>
          <w:color w:val="auto"/>
          <w:highlight w:val="none"/>
        </w:rPr>
        <w:t>城市范围内为满足生活、生产需要的给水、雨水、污水、再生水、天然气、热力、电力、通信等市政公用管线，不包含工业管线。</w:t>
      </w:r>
    </w:p>
    <w:p w14:paraId="44247E58">
      <w:pPr>
        <w:pStyle w:val="34"/>
        <w:spacing w:before="156" w:beforeLines="50" w:after="156" w:afterLines="50" w:line="400" w:lineRule="exact"/>
        <w:outlineLvl w:val="2"/>
        <w:rPr>
          <w:rFonts w:ascii="黑体" w:hAnsi="黑体" w:cs="黑体"/>
          <w:color w:val="auto"/>
          <w:sz w:val="21"/>
          <w:szCs w:val="21"/>
          <w:highlight w:val="none"/>
        </w:rPr>
      </w:pPr>
      <w:bookmarkStart w:id="44" w:name="_Toc165020549"/>
      <w:bookmarkStart w:id="45" w:name="_Toc3034"/>
      <w:bookmarkStart w:id="46" w:name="_Toc32407"/>
      <w:bookmarkStart w:id="47" w:name="_Toc18460"/>
      <w:bookmarkStart w:id="48" w:name="_Toc5208"/>
      <w:r>
        <w:rPr>
          <w:rFonts w:hint="eastAsia" w:ascii="黑体" w:hAnsi="黑体" w:cs="黑体"/>
          <w:color w:val="auto"/>
          <w:sz w:val="21"/>
          <w:szCs w:val="21"/>
          <w:highlight w:val="none"/>
        </w:rPr>
        <w:t>2.</w:t>
      </w:r>
      <w:r>
        <w:rPr>
          <w:rFonts w:hint="eastAsia" w:ascii="黑体" w:hAnsi="黑体" w:cs="黑体"/>
          <w:color w:val="auto"/>
          <w:sz w:val="21"/>
          <w:szCs w:val="21"/>
          <w:highlight w:val="none"/>
          <w:lang w:val="en-US" w:eastAsia="zh-CN"/>
        </w:rPr>
        <w:t>0.6</w:t>
      </w:r>
      <w:r>
        <w:rPr>
          <w:rFonts w:ascii="黑体" w:hAnsi="黑体" w:cs="黑体"/>
          <w:color w:val="auto"/>
          <w:sz w:val="21"/>
          <w:szCs w:val="21"/>
          <w:highlight w:val="none"/>
        </w:rPr>
        <w:t xml:space="preserve"> </w:t>
      </w:r>
      <w:r>
        <w:rPr>
          <w:rFonts w:hint="eastAsia" w:ascii="黑体" w:hAnsi="黑体" w:cs="黑体"/>
          <w:color w:val="auto"/>
          <w:sz w:val="21"/>
          <w:szCs w:val="21"/>
          <w:highlight w:val="none"/>
        </w:rPr>
        <w:t>小型综合管廊容纳工程管线</w:t>
      </w:r>
      <w:bookmarkEnd w:id="44"/>
      <w:r>
        <w:rPr>
          <w:rFonts w:hint="eastAsia" w:ascii="黑体" w:hAnsi="黑体" w:cs="黑体"/>
          <w:color w:val="auto"/>
          <w:sz w:val="21"/>
          <w:szCs w:val="21"/>
          <w:highlight w:val="none"/>
        </w:rPr>
        <w:t xml:space="preserve">  </w:t>
      </w:r>
      <w:r>
        <w:rPr>
          <w:rFonts w:ascii="Times New Roman" w:hAnsi="Times New Roman"/>
          <w:b w:val="0"/>
          <w:bCs w:val="0"/>
          <w:color w:val="auto"/>
          <w:sz w:val="21"/>
          <w:szCs w:val="21"/>
          <w:highlight w:val="none"/>
        </w:rPr>
        <w:t>engineer</w:t>
      </w:r>
      <w:r>
        <w:rPr>
          <w:rFonts w:hint="eastAsia" w:ascii="Times New Roman" w:hAnsi="Times New Roman"/>
          <w:b w:val="0"/>
          <w:bCs w:val="0"/>
          <w:color w:val="auto"/>
          <w:sz w:val="21"/>
          <w:szCs w:val="21"/>
          <w:highlight w:val="none"/>
        </w:rPr>
        <w:t>i</w:t>
      </w:r>
      <w:r>
        <w:rPr>
          <w:rFonts w:ascii="Times New Roman" w:hAnsi="Times New Roman"/>
          <w:b w:val="0"/>
          <w:bCs w:val="0"/>
          <w:color w:val="auto"/>
          <w:sz w:val="21"/>
          <w:szCs w:val="21"/>
          <w:highlight w:val="none"/>
        </w:rPr>
        <w:t>ng pipeline</w:t>
      </w:r>
      <w:r>
        <w:rPr>
          <w:rFonts w:hint="eastAsia" w:ascii="Times New Roman" w:hAnsi="Times New Roman"/>
          <w:b w:val="0"/>
          <w:bCs w:val="0"/>
          <w:color w:val="auto"/>
          <w:sz w:val="21"/>
          <w:szCs w:val="21"/>
          <w:highlight w:val="none"/>
        </w:rPr>
        <w:t xml:space="preserve"> in small utility tunnel</w:t>
      </w:r>
      <w:bookmarkEnd w:id="45"/>
      <w:bookmarkEnd w:id="46"/>
      <w:bookmarkEnd w:id="47"/>
      <w:bookmarkEnd w:id="48"/>
      <w:r>
        <w:rPr>
          <w:rFonts w:hint="eastAsia" w:ascii="Times New Roman" w:hAnsi="Times New Roman"/>
          <w:b w:val="0"/>
          <w:bCs w:val="0"/>
          <w:color w:val="auto"/>
          <w:sz w:val="21"/>
          <w:szCs w:val="21"/>
          <w:highlight w:val="none"/>
        </w:rPr>
        <w:t xml:space="preserve"> </w:t>
      </w:r>
    </w:p>
    <w:p w14:paraId="05F10B88">
      <w:pPr>
        <w:ind w:firstLine="567"/>
        <w:rPr>
          <w:rFonts w:ascii="Times New Roman" w:hAnsi="Times New Roman"/>
          <w:color w:val="auto"/>
          <w:highlight w:val="none"/>
        </w:rPr>
      </w:pPr>
      <w:r>
        <w:rPr>
          <w:rFonts w:hint="eastAsia" w:ascii="黑体" w:hAnsi="黑体" w:cs="黑体"/>
          <w:color w:val="auto"/>
          <w:sz w:val="21"/>
          <w:szCs w:val="21"/>
          <w:highlight w:val="none"/>
        </w:rPr>
        <w:t>城市工程管线</w:t>
      </w:r>
      <w:r>
        <w:rPr>
          <w:rFonts w:hint="eastAsia" w:ascii="Times New Roman" w:hAnsi="Times New Roman"/>
          <w:color w:val="auto"/>
          <w:highlight w:val="none"/>
        </w:rPr>
        <w:t>及</w:t>
      </w:r>
      <w:r>
        <w:rPr>
          <w:rFonts w:hint="eastAsia" w:ascii="Times New Roman" w:hAnsi="Times New Roman"/>
          <w:color w:val="auto"/>
          <w:highlight w:val="none"/>
          <w:lang w:val="en-US" w:eastAsia="zh-CN"/>
        </w:rPr>
        <w:t>城市各类</w:t>
      </w:r>
      <w:r>
        <w:rPr>
          <w:rFonts w:hint="eastAsia" w:ascii="Times New Roman" w:hAnsi="Times New Roman"/>
          <w:color w:val="auto"/>
          <w:highlight w:val="none"/>
        </w:rPr>
        <w:t>园区、</w:t>
      </w:r>
      <w:r>
        <w:rPr>
          <w:rFonts w:hint="eastAsia" w:ascii="Times New Roman" w:hAnsi="Times New Roman"/>
          <w:color w:val="auto"/>
          <w:highlight w:val="none"/>
          <w:lang w:val="en-US" w:eastAsia="zh-CN"/>
        </w:rPr>
        <w:t>居住区等</w:t>
      </w:r>
      <w:r>
        <w:rPr>
          <w:rFonts w:hint="eastAsia" w:ascii="Times New Roman" w:hAnsi="Times New Roman"/>
          <w:color w:val="auto"/>
          <w:highlight w:val="none"/>
        </w:rPr>
        <w:t>公共建筑及场所的相关配套管线，不包含天然气。</w:t>
      </w:r>
    </w:p>
    <w:p w14:paraId="1E302F1E">
      <w:pPr>
        <w:ind w:firstLine="567"/>
        <w:rPr>
          <w:rFonts w:hint="eastAsia" w:ascii="Times New Roman" w:hAnsi="Times New Roman"/>
          <w:color w:val="auto"/>
          <w:highlight w:val="none"/>
        </w:rPr>
      </w:pPr>
      <w:r>
        <w:rPr>
          <w:rFonts w:hint="eastAsia" w:ascii="Times New Roman" w:hAnsi="Times New Roman"/>
          <w:b/>
          <w:color w:val="auto"/>
          <w:highlight w:val="none"/>
        </w:rPr>
        <w:t>【条文说明：</w:t>
      </w:r>
      <w:r>
        <w:rPr>
          <w:rFonts w:hint="eastAsia" w:ascii="Times New Roman" w:hAnsi="Times New Roman"/>
          <w:color w:val="auto"/>
          <w:highlight w:val="none"/>
          <w:lang w:val="en-US" w:eastAsia="zh-CN"/>
        </w:rPr>
        <w:t>根据《城市综合管廊工程技术标准》GB/T50838-2015（2024年版）第4.3.4A 天然气管道不宜纳入小型综合管廊</w:t>
      </w:r>
      <w:r>
        <w:rPr>
          <w:rFonts w:hint="eastAsia" w:ascii="Times New Roman" w:hAnsi="Times New Roman"/>
          <w:color w:val="auto"/>
          <w:highlight w:val="none"/>
          <w:lang w:eastAsia="zh-CN"/>
        </w:rPr>
        <w:t>。</w:t>
      </w:r>
      <w:r>
        <w:rPr>
          <w:rFonts w:hint="eastAsia" w:ascii="Times New Roman" w:hAnsi="Times New Roman"/>
          <w:color w:val="auto"/>
          <w:highlight w:val="none"/>
          <w:lang w:val="en-US" w:eastAsia="zh-CN"/>
        </w:rPr>
        <w:t>纳入小型综合管廊的管线公称</w:t>
      </w:r>
      <w:r>
        <w:rPr>
          <w:rFonts w:hint="eastAsia" w:ascii="Times New Roman" w:hAnsi="Times New Roman"/>
          <w:color w:val="auto"/>
          <w:highlight w:val="none"/>
        </w:rPr>
        <w:t>管径</w:t>
      </w:r>
      <w:r>
        <w:rPr>
          <w:rFonts w:hint="eastAsia" w:ascii="Times New Roman" w:hAnsi="Times New Roman"/>
          <w:color w:val="auto"/>
          <w:highlight w:val="none"/>
          <w:lang w:val="en-US" w:eastAsia="zh-CN"/>
        </w:rPr>
        <w:t>≤</w:t>
      </w:r>
      <w:r>
        <w:rPr>
          <w:rFonts w:hint="eastAsia" w:ascii="Times New Roman" w:hAnsi="Times New Roman"/>
          <w:color w:val="auto"/>
          <w:highlight w:val="none"/>
        </w:rPr>
        <w:t>DN500</w:t>
      </w:r>
      <w:r>
        <w:rPr>
          <w:rFonts w:hint="eastAsia" w:ascii="Times New Roman" w:hAnsi="Times New Roman"/>
          <w:color w:val="auto"/>
          <w:highlight w:val="none"/>
          <w:lang w:eastAsia="zh-CN"/>
        </w:rPr>
        <w:t>。</w:t>
      </w:r>
      <w:r>
        <w:rPr>
          <w:rFonts w:hint="eastAsia" w:ascii="Times New Roman" w:hAnsi="Times New Roman"/>
          <w:b w:val="0"/>
          <w:bCs/>
          <w:color w:val="auto"/>
          <w:highlight w:val="none"/>
        </w:rPr>
        <w:t>除居住区、商业区等常规区域外，</w:t>
      </w:r>
      <w:r>
        <w:rPr>
          <w:rFonts w:hint="eastAsia" w:ascii="Times New Roman" w:hAnsi="Times New Roman"/>
          <w:b w:val="0"/>
          <w:bCs/>
          <w:color w:val="auto"/>
          <w:highlight w:val="none"/>
          <w:lang w:val="en-US" w:eastAsia="zh-CN"/>
        </w:rPr>
        <w:t>城市各类园区、居住区</w:t>
      </w:r>
      <w:r>
        <w:rPr>
          <w:rFonts w:hint="eastAsia" w:ascii="Times New Roman" w:hAnsi="Times New Roman"/>
          <w:b w:val="0"/>
          <w:bCs/>
          <w:color w:val="auto"/>
          <w:highlight w:val="none"/>
        </w:rPr>
        <w:t>等公共建筑的配套管线系统也适宜纳入小型综合管廊，国内已有相关的案例，如西安碑林博物馆小型综合管廊、北京师范大学小型综合管廊。</w:t>
      </w:r>
      <w:r>
        <w:rPr>
          <w:rFonts w:hint="eastAsia" w:ascii="Times New Roman" w:hAnsi="Times New Roman"/>
          <w:color w:val="auto"/>
          <w:highlight w:val="none"/>
        </w:rPr>
        <w:t>小型综合管廊一般</w:t>
      </w:r>
      <w:r>
        <w:rPr>
          <w:rFonts w:hint="eastAsia" w:ascii="Times New Roman" w:hAnsi="Times New Roman"/>
          <w:color w:val="auto"/>
          <w:highlight w:val="none"/>
          <w:lang w:val="en-US" w:eastAsia="zh-CN"/>
        </w:rPr>
        <w:t>采用</w:t>
      </w:r>
      <w:r>
        <w:rPr>
          <w:rFonts w:hint="eastAsia" w:ascii="Times New Roman" w:hAnsi="Times New Roman"/>
          <w:color w:val="auto"/>
          <w:highlight w:val="none"/>
        </w:rPr>
        <w:t>单舱</w:t>
      </w:r>
      <w:r>
        <w:rPr>
          <w:rFonts w:hint="eastAsia" w:ascii="Times New Roman" w:hAnsi="Times New Roman"/>
          <w:color w:val="auto"/>
          <w:highlight w:val="none"/>
          <w:lang w:val="en-US" w:eastAsia="zh-CN"/>
        </w:rPr>
        <w:t>断面型式</w:t>
      </w:r>
      <w:r>
        <w:rPr>
          <w:rFonts w:hint="eastAsia" w:ascii="Times New Roman" w:hAnsi="Times New Roman"/>
          <w:color w:val="auto"/>
          <w:highlight w:val="none"/>
        </w:rPr>
        <w:t>，当纳入1</w:t>
      </w:r>
      <w:r>
        <w:rPr>
          <w:rFonts w:ascii="Times New Roman" w:hAnsi="Times New Roman"/>
          <w:color w:val="auto"/>
          <w:highlight w:val="none"/>
        </w:rPr>
        <w:t>10kV电力电缆回数超过</w:t>
      </w:r>
      <w:r>
        <w:rPr>
          <w:rFonts w:hint="eastAsia" w:ascii="Times New Roman" w:hAnsi="Times New Roman"/>
          <w:color w:val="auto"/>
          <w:highlight w:val="none"/>
        </w:rPr>
        <w:t>2回</w:t>
      </w:r>
      <w:r>
        <w:rPr>
          <w:rFonts w:hint="eastAsia" w:ascii="Times New Roman" w:hAnsi="Times New Roman"/>
          <w:color w:val="auto"/>
          <w:highlight w:val="none"/>
          <w:lang w:val="en-US" w:eastAsia="zh-CN"/>
        </w:rPr>
        <w:t>及雨水管渠</w:t>
      </w:r>
      <w:r>
        <w:rPr>
          <w:rFonts w:hint="eastAsia" w:ascii="Times New Roman" w:hAnsi="Times New Roman"/>
          <w:color w:val="auto"/>
          <w:highlight w:val="none"/>
        </w:rPr>
        <w:t>时，</w:t>
      </w:r>
      <w:r>
        <w:rPr>
          <w:rFonts w:hint="eastAsia" w:ascii="Times New Roman" w:hAnsi="Times New Roman"/>
          <w:color w:val="auto"/>
          <w:highlight w:val="none"/>
          <w:lang w:val="en-US" w:eastAsia="zh-CN"/>
        </w:rPr>
        <w:t>宜</w:t>
      </w:r>
      <w:r>
        <w:rPr>
          <w:rFonts w:hint="eastAsia" w:ascii="Times New Roman" w:hAnsi="Times New Roman"/>
          <w:color w:val="auto"/>
          <w:highlight w:val="none"/>
        </w:rPr>
        <w:t>分舱设置</w:t>
      </w:r>
      <w:r>
        <w:rPr>
          <w:rFonts w:hint="eastAsia" w:ascii="Times New Roman" w:hAnsi="Times New Roman"/>
          <w:color w:val="auto"/>
          <w:highlight w:val="none"/>
          <w:lang w:eastAsia="zh-CN"/>
        </w:rPr>
        <w:t>，</w:t>
      </w:r>
      <w:r>
        <w:rPr>
          <w:rFonts w:hint="eastAsia" w:ascii="Times New Roman" w:hAnsi="Times New Roman"/>
          <w:color w:val="auto"/>
          <w:highlight w:val="none"/>
          <w:lang w:val="en-US" w:eastAsia="zh-CN"/>
        </w:rPr>
        <w:t>详见图2.0.6-1、图2.0.6-2</w:t>
      </w:r>
      <w:r>
        <w:rPr>
          <w:rFonts w:hint="eastAsia" w:ascii="Times New Roman" w:hAnsi="Times New Roman"/>
          <w:color w:val="auto"/>
          <w:highlight w:val="none"/>
        </w:rPr>
        <w:t>。】</w:t>
      </w:r>
    </w:p>
    <w:p w14:paraId="5CCADD62">
      <w:pPr>
        <w:ind w:firstLine="567"/>
        <w:rPr>
          <w:rFonts w:hint="eastAsia" w:ascii="Times New Roman" w:hAnsi="Times New Roman"/>
          <w:color w:val="auto"/>
          <w:highlight w:val="none"/>
        </w:rPr>
      </w:pPr>
    </w:p>
    <w:p w14:paraId="634A81C4">
      <w:pPr>
        <w:ind w:firstLine="567"/>
        <w:rPr>
          <w:rFonts w:hint="eastAsia" w:ascii="Times New Roman" w:hAnsi="Times New Roman"/>
          <w:color w:val="auto"/>
          <w:highlight w:val="none"/>
        </w:rPr>
      </w:pPr>
    </w:p>
    <w:p w14:paraId="3812C9CA">
      <w:pPr>
        <w:ind w:firstLine="567"/>
        <w:rPr>
          <w:rFonts w:hint="eastAsia" w:ascii="Times New Roman" w:hAnsi="Times New Roman"/>
          <w:color w:val="auto"/>
          <w:highlight w:val="none"/>
        </w:rPr>
      </w:pPr>
    </w:p>
    <w:p w14:paraId="724455C0">
      <w:pPr>
        <w:ind w:firstLine="567"/>
        <w:rPr>
          <w:rFonts w:hint="eastAsia" w:ascii="Times New Roman" w:hAnsi="Times New Roman"/>
          <w:color w:val="auto"/>
          <w:highlight w:val="none"/>
        </w:rPr>
      </w:pPr>
      <w:r>
        <w:rPr>
          <w:color w:val="auto"/>
          <w:highlight w:val="none"/>
        </w:rPr>
        <w:drawing>
          <wp:anchor distT="0" distB="0" distL="0" distR="0" simplePos="0" relativeHeight="251661312" behindDoc="0" locked="0" layoutInCell="1" allowOverlap="1">
            <wp:simplePos x="0" y="0"/>
            <wp:positionH relativeFrom="column">
              <wp:posOffset>1356360</wp:posOffset>
            </wp:positionH>
            <wp:positionV relativeFrom="paragraph">
              <wp:posOffset>66040</wp:posOffset>
            </wp:positionV>
            <wp:extent cx="3025775" cy="2589530"/>
            <wp:effectExtent l="0" t="0" r="3175" b="127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3025775" cy="2589530"/>
                    </a:xfrm>
                    <a:prstGeom prst="rect">
                      <a:avLst/>
                    </a:prstGeom>
                  </pic:spPr>
                </pic:pic>
              </a:graphicData>
            </a:graphic>
          </wp:anchor>
        </w:drawing>
      </w:r>
    </w:p>
    <w:p w14:paraId="5D30DAB7">
      <w:pPr>
        <w:ind w:firstLine="567"/>
        <w:rPr>
          <w:rFonts w:hint="eastAsia" w:ascii="Times New Roman" w:hAnsi="Times New Roman"/>
          <w:color w:val="auto"/>
          <w:highlight w:val="none"/>
        </w:rPr>
      </w:pPr>
    </w:p>
    <w:p w14:paraId="1D7EB5F1">
      <w:pPr>
        <w:ind w:firstLine="567"/>
        <w:rPr>
          <w:rFonts w:hint="eastAsia" w:ascii="Times New Roman" w:hAnsi="Times New Roman"/>
          <w:color w:val="auto"/>
          <w:highlight w:val="none"/>
        </w:rPr>
      </w:pPr>
    </w:p>
    <w:p w14:paraId="64F593F2">
      <w:pPr>
        <w:ind w:firstLine="567"/>
        <w:rPr>
          <w:rFonts w:hint="eastAsia" w:ascii="Times New Roman" w:hAnsi="Times New Roman"/>
          <w:color w:val="auto"/>
          <w:highlight w:val="none"/>
        </w:rPr>
      </w:pPr>
    </w:p>
    <w:p w14:paraId="6CAC80C6">
      <w:pPr>
        <w:ind w:firstLine="567"/>
        <w:rPr>
          <w:rFonts w:hint="eastAsia" w:ascii="Times New Roman" w:hAnsi="Times New Roman"/>
          <w:color w:val="auto"/>
          <w:highlight w:val="none"/>
        </w:rPr>
      </w:pPr>
    </w:p>
    <w:p w14:paraId="6D9B18B3">
      <w:pPr>
        <w:ind w:firstLine="567"/>
        <w:rPr>
          <w:rFonts w:hint="eastAsia" w:ascii="Times New Roman" w:hAnsi="Times New Roman"/>
          <w:color w:val="auto"/>
          <w:highlight w:val="none"/>
        </w:rPr>
      </w:pPr>
    </w:p>
    <w:p w14:paraId="3C1F431A">
      <w:pPr>
        <w:ind w:firstLine="567"/>
        <w:rPr>
          <w:rFonts w:hint="eastAsia" w:ascii="Times New Roman" w:hAnsi="Times New Roman"/>
          <w:color w:val="auto"/>
          <w:highlight w:val="none"/>
        </w:rPr>
      </w:pPr>
    </w:p>
    <w:p w14:paraId="4D24F32F">
      <w:pPr>
        <w:ind w:firstLine="567"/>
        <w:rPr>
          <w:rFonts w:hint="eastAsia" w:ascii="Times New Roman" w:hAnsi="Times New Roman"/>
          <w:color w:val="auto"/>
          <w:highlight w:val="none"/>
        </w:rPr>
      </w:pPr>
    </w:p>
    <w:p w14:paraId="097485A7">
      <w:pPr>
        <w:ind w:firstLine="567"/>
        <w:rPr>
          <w:rFonts w:hint="eastAsia" w:ascii="Times New Roman" w:hAnsi="Times New Roman"/>
          <w:color w:val="auto"/>
          <w:highlight w:val="none"/>
        </w:rPr>
      </w:pPr>
    </w:p>
    <w:p w14:paraId="60CF968F">
      <w:pPr>
        <w:ind w:firstLine="567"/>
        <w:rPr>
          <w:rFonts w:hint="eastAsia" w:ascii="Times New Roman" w:hAnsi="Times New Roman"/>
          <w:color w:val="auto"/>
          <w:highlight w:val="none"/>
        </w:rPr>
      </w:pPr>
    </w:p>
    <w:p w14:paraId="547DF44C">
      <w:pPr>
        <w:ind w:firstLine="567"/>
        <w:rPr>
          <w:rFonts w:hint="eastAsia" w:ascii="Times New Roman" w:hAnsi="Times New Roman"/>
          <w:color w:val="auto"/>
          <w:highlight w:val="none"/>
        </w:rPr>
      </w:pPr>
    </w:p>
    <w:p w14:paraId="1544ABDD">
      <w:pPr>
        <w:ind w:firstLine="0"/>
        <w:jc w:val="center"/>
        <w:rPr>
          <w:rFonts w:hint="eastAsia" w:ascii="Times New Roman" w:hAnsi="Times New Roman"/>
          <w:color w:val="auto"/>
          <w:highlight w:val="none"/>
        </w:rPr>
      </w:pPr>
      <w:r>
        <w:rPr>
          <w:rFonts w:hint="eastAsia"/>
          <w:color w:val="auto"/>
          <w:highlight w:val="none"/>
        </w:rPr>
        <w:t>图2.</w:t>
      </w:r>
      <w:r>
        <w:rPr>
          <w:rFonts w:hint="eastAsia"/>
          <w:color w:val="auto"/>
          <w:highlight w:val="none"/>
          <w:lang w:val="en-US" w:eastAsia="zh-CN"/>
        </w:rPr>
        <w:t>0.6-1</w:t>
      </w:r>
      <w:r>
        <w:rPr>
          <w:rFonts w:hint="eastAsia"/>
          <w:color w:val="auto"/>
          <w:highlight w:val="none"/>
        </w:rPr>
        <w:t xml:space="preserve"> 110kV电力入廊标准横断面示意图</w:t>
      </w:r>
    </w:p>
    <w:p w14:paraId="235F0E32">
      <w:pPr>
        <w:ind w:firstLine="567"/>
        <w:rPr>
          <w:rFonts w:hint="eastAsia" w:ascii="Times New Roman" w:hAnsi="Times New Roman"/>
          <w:color w:val="auto"/>
          <w:highlight w:val="none"/>
        </w:rPr>
      </w:pPr>
      <w:r>
        <w:drawing>
          <wp:anchor distT="0" distB="0" distL="114300" distR="114300" simplePos="0" relativeHeight="251662336" behindDoc="0" locked="0" layoutInCell="1" allowOverlap="1">
            <wp:simplePos x="0" y="0"/>
            <wp:positionH relativeFrom="column">
              <wp:posOffset>899160</wp:posOffset>
            </wp:positionH>
            <wp:positionV relativeFrom="paragraph">
              <wp:posOffset>46355</wp:posOffset>
            </wp:positionV>
            <wp:extent cx="4022090" cy="2646680"/>
            <wp:effectExtent l="0" t="0" r="16510" b="1270"/>
            <wp:wrapSquare wrapText="bothSides"/>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4"/>
                    <a:stretch>
                      <a:fillRect/>
                    </a:stretch>
                  </pic:blipFill>
                  <pic:spPr>
                    <a:xfrm>
                      <a:off x="0" y="0"/>
                      <a:ext cx="4022090" cy="2646680"/>
                    </a:xfrm>
                    <a:prstGeom prst="rect">
                      <a:avLst/>
                    </a:prstGeom>
                    <a:noFill/>
                    <a:ln>
                      <a:noFill/>
                    </a:ln>
                  </pic:spPr>
                </pic:pic>
              </a:graphicData>
            </a:graphic>
          </wp:anchor>
        </w:drawing>
      </w:r>
    </w:p>
    <w:p w14:paraId="5DA41861">
      <w:pPr>
        <w:ind w:firstLine="567"/>
        <w:rPr>
          <w:rFonts w:hint="eastAsia" w:ascii="Times New Roman" w:hAnsi="Times New Roman"/>
          <w:color w:val="auto"/>
          <w:highlight w:val="none"/>
          <w:lang w:eastAsia="zh-CN"/>
        </w:rPr>
      </w:pPr>
    </w:p>
    <w:p w14:paraId="0DFE8875">
      <w:pPr>
        <w:ind w:firstLine="567"/>
        <w:rPr>
          <w:rFonts w:hint="eastAsia" w:ascii="Times New Roman" w:hAnsi="Times New Roman"/>
          <w:color w:val="auto"/>
          <w:highlight w:val="none"/>
        </w:rPr>
      </w:pPr>
    </w:p>
    <w:p w14:paraId="6456D895">
      <w:pPr>
        <w:ind w:firstLine="567"/>
        <w:rPr>
          <w:rFonts w:hint="eastAsia" w:ascii="Times New Roman" w:hAnsi="Times New Roman"/>
          <w:color w:val="auto"/>
          <w:highlight w:val="none"/>
        </w:rPr>
      </w:pPr>
    </w:p>
    <w:p w14:paraId="560489DE">
      <w:pPr>
        <w:ind w:firstLine="567"/>
        <w:rPr>
          <w:rFonts w:hint="eastAsia" w:ascii="Times New Roman" w:hAnsi="Times New Roman"/>
          <w:color w:val="auto"/>
          <w:highlight w:val="none"/>
        </w:rPr>
      </w:pPr>
    </w:p>
    <w:p w14:paraId="76D4CC78">
      <w:pPr>
        <w:ind w:firstLine="567"/>
        <w:rPr>
          <w:rFonts w:hint="eastAsia" w:ascii="Times New Roman" w:hAnsi="Times New Roman"/>
          <w:color w:val="auto"/>
          <w:highlight w:val="none"/>
        </w:rPr>
      </w:pPr>
    </w:p>
    <w:p w14:paraId="12765935">
      <w:pPr>
        <w:ind w:firstLine="567"/>
        <w:rPr>
          <w:rFonts w:hint="eastAsia" w:ascii="Times New Roman" w:hAnsi="Times New Roman"/>
          <w:color w:val="auto"/>
          <w:highlight w:val="none"/>
        </w:rPr>
      </w:pPr>
    </w:p>
    <w:p w14:paraId="3B04D3C4">
      <w:pPr>
        <w:ind w:firstLine="567"/>
        <w:rPr>
          <w:rFonts w:hint="eastAsia" w:ascii="Times New Roman" w:hAnsi="Times New Roman"/>
          <w:color w:val="auto"/>
          <w:highlight w:val="none"/>
        </w:rPr>
      </w:pPr>
    </w:p>
    <w:p w14:paraId="06185F24">
      <w:pPr>
        <w:ind w:firstLine="567"/>
        <w:rPr>
          <w:rFonts w:hint="eastAsia" w:ascii="Times New Roman" w:hAnsi="Times New Roman"/>
          <w:color w:val="auto"/>
          <w:highlight w:val="none"/>
        </w:rPr>
      </w:pPr>
    </w:p>
    <w:p w14:paraId="61F01749">
      <w:pPr>
        <w:ind w:firstLine="567"/>
        <w:rPr>
          <w:rFonts w:hint="eastAsia" w:ascii="Times New Roman" w:hAnsi="Times New Roman"/>
          <w:color w:val="auto"/>
          <w:highlight w:val="none"/>
        </w:rPr>
      </w:pPr>
    </w:p>
    <w:p w14:paraId="11BB53A5">
      <w:pPr>
        <w:ind w:firstLine="567"/>
        <w:rPr>
          <w:rFonts w:hint="eastAsia" w:ascii="Times New Roman" w:hAnsi="Times New Roman"/>
          <w:color w:val="auto"/>
          <w:highlight w:val="none"/>
        </w:rPr>
      </w:pPr>
    </w:p>
    <w:p w14:paraId="1D87773F">
      <w:pPr>
        <w:ind w:firstLine="0"/>
        <w:jc w:val="center"/>
        <w:rPr>
          <w:rFonts w:hint="eastAsia" w:ascii="Times New Roman" w:hAnsi="Times New Roman"/>
          <w:color w:val="auto"/>
          <w:highlight w:val="none"/>
        </w:rPr>
      </w:pPr>
      <w:r>
        <w:rPr>
          <w:rFonts w:hint="eastAsia"/>
          <w:color w:val="auto"/>
          <w:highlight w:val="none"/>
        </w:rPr>
        <w:t>图2.</w:t>
      </w:r>
      <w:r>
        <w:rPr>
          <w:rFonts w:hint="eastAsia"/>
          <w:color w:val="auto"/>
          <w:highlight w:val="none"/>
          <w:lang w:val="en-US" w:eastAsia="zh-CN"/>
        </w:rPr>
        <w:t>0.6-2</w:t>
      </w:r>
      <w:r>
        <w:rPr>
          <w:rFonts w:hint="eastAsia"/>
          <w:color w:val="auto"/>
          <w:highlight w:val="none"/>
        </w:rPr>
        <w:t xml:space="preserve">  雨水管渠入廊标准横断面示意图</w:t>
      </w:r>
    </w:p>
    <w:p w14:paraId="54FC84B0">
      <w:pPr>
        <w:rPr>
          <w:rFonts w:ascii="Times New Roman" w:hAnsi="Times New Roman"/>
          <w:color w:val="auto"/>
          <w:highlight w:val="none"/>
        </w:rPr>
      </w:pPr>
      <w:r>
        <w:rPr>
          <w:rFonts w:hint="eastAsia" w:ascii="黑体" w:hAnsi="黑体" w:eastAsia="黑体" w:cs="黑体"/>
          <w:b/>
          <w:bCs/>
          <w:color w:val="auto"/>
          <w:highlight w:val="none"/>
        </w:rPr>
        <w:t>2.0.7 通信线缆</w:t>
      </w:r>
      <w:r>
        <w:rPr>
          <w:rFonts w:ascii="Times New Roman" w:hAnsi="Times New Roman"/>
          <w:color w:val="auto"/>
          <w:highlight w:val="none"/>
        </w:rPr>
        <w:tab/>
      </w:r>
      <w:r>
        <w:rPr>
          <w:rFonts w:hint="eastAsia" w:ascii="Times New Roman" w:hAnsi="Times New Roman"/>
          <w:color w:val="auto"/>
          <w:highlight w:val="none"/>
        </w:rPr>
        <w:t>communication cable</w:t>
      </w:r>
    </w:p>
    <w:p w14:paraId="3BDE5B1D">
      <w:pPr>
        <w:ind w:firstLine="567"/>
        <w:rPr>
          <w:rFonts w:ascii="Times New Roman" w:hAnsi="Times New Roman"/>
          <w:color w:val="auto"/>
          <w:highlight w:val="none"/>
        </w:rPr>
      </w:pPr>
      <w:r>
        <w:rPr>
          <w:rFonts w:hint="eastAsia" w:ascii="Times New Roman" w:hAnsi="Times New Roman"/>
          <w:color w:val="auto"/>
          <w:highlight w:val="none"/>
        </w:rPr>
        <w:t>用于传输信息数据电信号或光信号的各种导线的总称，包括 通信光缆、通信电缆以及智能弱电系统的信号传输线缆。</w:t>
      </w:r>
    </w:p>
    <w:p w14:paraId="13823D52">
      <w:pPr>
        <w:rPr>
          <w:rFonts w:ascii="Times New Roman" w:hAnsi="Times New Roman"/>
          <w:color w:val="auto"/>
          <w:highlight w:val="none"/>
        </w:rPr>
      </w:pPr>
      <w:bookmarkStart w:id="49" w:name="_Toc165020552"/>
      <w:bookmarkStart w:id="50" w:name="_Toc19150"/>
      <w:bookmarkStart w:id="51" w:name="_Toc24461"/>
      <w:r>
        <w:rPr>
          <w:rFonts w:hint="eastAsia" w:ascii="黑体" w:hAnsi="黑体" w:eastAsia="黑体" w:cs="黑体"/>
          <w:b/>
          <w:bCs/>
          <w:color w:val="auto"/>
          <w:highlight w:val="none"/>
        </w:rPr>
        <w:t>2.0.8</w:t>
      </w:r>
      <w:r>
        <w:rPr>
          <w:rFonts w:hint="eastAsia" w:ascii="Times New Roman" w:hAnsi="Times New Roman"/>
          <w:color w:val="auto"/>
          <w:highlight w:val="none"/>
        </w:rPr>
        <w:t xml:space="preserve"> </w:t>
      </w:r>
      <w:r>
        <w:rPr>
          <w:rFonts w:hint="eastAsia" w:ascii="黑体" w:hAnsi="黑体" w:eastAsia="黑体" w:cs="黑体"/>
          <w:b/>
          <w:bCs/>
          <w:color w:val="auto"/>
          <w:highlight w:val="none"/>
        </w:rPr>
        <w:t>现浇混凝土综合管廊结构</w:t>
      </w:r>
      <w:r>
        <w:rPr>
          <w:rFonts w:ascii="黑体" w:hAnsi="黑体" w:eastAsia="黑体" w:cs="黑体"/>
          <w:b/>
          <w:bCs/>
          <w:color w:val="auto"/>
          <w:highlight w:val="none"/>
        </w:rPr>
        <w:tab/>
      </w:r>
      <w:r>
        <w:rPr>
          <w:rFonts w:hint="eastAsia" w:ascii="Times New Roman" w:hAnsi="Times New Roman"/>
          <w:color w:val="auto"/>
          <w:highlight w:val="none"/>
        </w:rPr>
        <w:t xml:space="preserve">cast-in-site </w:t>
      </w:r>
      <w:r>
        <w:rPr>
          <w:rFonts w:ascii="Times New Roman" w:hAnsi="Times New Roman"/>
          <w:color w:val="auto"/>
          <w:highlight w:val="none"/>
        </w:rPr>
        <w:t xml:space="preserve">utility </w:t>
      </w:r>
      <w:r>
        <w:rPr>
          <w:rFonts w:hint="eastAsia" w:ascii="Times New Roman" w:hAnsi="Times New Roman"/>
          <w:color w:val="auto"/>
          <w:highlight w:val="none"/>
        </w:rPr>
        <w:t xml:space="preserve">tunnel </w:t>
      </w:r>
    </w:p>
    <w:p w14:paraId="06772CCA">
      <w:pPr>
        <w:ind w:firstLine="567"/>
        <w:rPr>
          <w:rFonts w:ascii="Times New Roman" w:hAnsi="Times New Roman"/>
          <w:color w:val="auto"/>
          <w:highlight w:val="none"/>
        </w:rPr>
      </w:pPr>
      <w:r>
        <w:rPr>
          <w:rFonts w:hint="eastAsia" w:ascii="Times New Roman" w:hAnsi="Times New Roman"/>
          <w:color w:val="auto"/>
          <w:highlight w:val="none"/>
        </w:rPr>
        <w:t>采用现场整体浇筑混凝土的综合管廊。</w:t>
      </w:r>
    </w:p>
    <w:p w14:paraId="24FDE520">
      <w:pPr>
        <w:rPr>
          <w:rFonts w:ascii="Times New Roman" w:hAnsi="Times New Roman"/>
          <w:color w:val="auto"/>
          <w:highlight w:val="none"/>
        </w:rPr>
      </w:pPr>
      <w:r>
        <w:rPr>
          <w:rFonts w:hint="eastAsia" w:ascii="黑体" w:hAnsi="黑体" w:eastAsia="黑体" w:cs="黑体"/>
          <w:b/>
          <w:bCs/>
          <w:color w:val="auto"/>
          <w:highlight w:val="none"/>
        </w:rPr>
        <w:t>2.0.9</w:t>
      </w:r>
      <w:r>
        <w:rPr>
          <w:rFonts w:hint="eastAsia" w:ascii="Times New Roman" w:hAnsi="Times New Roman"/>
          <w:color w:val="auto"/>
          <w:highlight w:val="none"/>
        </w:rPr>
        <w:t xml:space="preserve"> </w:t>
      </w:r>
      <w:r>
        <w:rPr>
          <w:rFonts w:hint="eastAsia" w:ascii="黑体" w:hAnsi="黑体" w:eastAsia="黑体" w:cs="黑体"/>
          <w:b/>
          <w:bCs/>
          <w:color w:val="auto"/>
          <w:highlight w:val="none"/>
        </w:rPr>
        <w:t>预制拼装综合管廊结构</w:t>
      </w:r>
      <w:r>
        <w:rPr>
          <w:rFonts w:ascii="Times New Roman" w:hAnsi="Times New Roman"/>
          <w:color w:val="auto"/>
          <w:highlight w:val="none"/>
        </w:rPr>
        <w:tab/>
      </w:r>
      <w:r>
        <w:rPr>
          <w:rFonts w:hint="eastAsia" w:ascii="Times New Roman" w:hAnsi="Times New Roman"/>
          <w:color w:val="auto"/>
          <w:highlight w:val="none"/>
        </w:rPr>
        <w:t xml:space="preserve">precast </w:t>
      </w:r>
      <w:r>
        <w:rPr>
          <w:rFonts w:ascii="Times New Roman" w:hAnsi="Times New Roman"/>
          <w:color w:val="auto"/>
          <w:highlight w:val="none"/>
        </w:rPr>
        <w:t xml:space="preserve">utility </w:t>
      </w:r>
      <w:r>
        <w:rPr>
          <w:rFonts w:hint="eastAsia" w:ascii="Times New Roman" w:hAnsi="Times New Roman"/>
          <w:color w:val="auto"/>
          <w:highlight w:val="none"/>
        </w:rPr>
        <w:t xml:space="preserve">tunnel </w:t>
      </w:r>
    </w:p>
    <w:p w14:paraId="63291950">
      <w:pPr>
        <w:ind w:firstLine="567"/>
        <w:rPr>
          <w:rFonts w:ascii="Times New Roman" w:hAnsi="Times New Roman"/>
          <w:color w:val="auto"/>
          <w:highlight w:val="none"/>
        </w:rPr>
      </w:pPr>
      <w:r>
        <w:rPr>
          <w:rFonts w:hint="eastAsia" w:ascii="Times New Roman" w:hAnsi="Times New Roman"/>
          <w:color w:val="auto"/>
          <w:highlight w:val="none"/>
        </w:rPr>
        <w:t>在工厂内分节段浇筑成型，现场采用拼装工艺施工成为整体的综合管廊。</w:t>
      </w:r>
    </w:p>
    <w:p w14:paraId="3ABD0ED2">
      <w:pPr>
        <w:rPr>
          <w:rFonts w:ascii="Times New Roman" w:hAnsi="Times New Roman"/>
          <w:color w:val="auto"/>
          <w:highlight w:val="none"/>
        </w:rPr>
      </w:pPr>
      <w:r>
        <w:rPr>
          <w:rFonts w:hint="eastAsia" w:ascii="黑体" w:hAnsi="黑体" w:eastAsia="黑体" w:cs="黑体"/>
          <w:b/>
          <w:bCs/>
          <w:color w:val="auto"/>
          <w:highlight w:val="none"/>
        </w:rPr>
        <w:t>2.0.10管线分支口</w:t>
      </w:r>
      <w:r>
        <w:rPr>
          <w:rFonts w:ascii="黑体" w:hAnsi="黑体" w:eastAsia="黑体" w:cs="黑体"/>
          <w:b/>
          <w:bCs/>
          <w:color w:val="auto"/>
          <w:highlight w:val="none"/>
        </w:rPr>
        <w:tab/>
      </w:r>
      <w:r>
        <w:rPr>
          <w:rFonts w:hint="eastAsia" w:ascii="Times New Roman" w:hAnsi="Times New Roman"/>
          <w:color w:val="auto"/>
          <w:highlight w:val="none"/>
        </w:rPr>
        <w:t>junction for pipe or cable</w:t>
      </w:r>
    </w:p>
    <w:p w14:paraId="01EE5254">
      <w:pPr>
        <w:ind w:firstLine="567"/>
        <w:rPr>
          <w:rFonts w:ascii="Times New Roman" w:hAnsi="Times New Roman"/>
          <w:color w:val="auto"/>
          <w:highlight w:val="none"/>
        </w:rPr>
      </w:pPr>
      <w:r>
        <w:rPr>
          <w:rFonts w:hint="eastAsia" w:ascii="Times New Roman" w:hAnsi="Times New Roman"/>
          <w:color w:val="auto"/>
          <w:highlight w:val="none"/>
        </w:rPr>
        <w:t>综合管廊内部管线和外部直埋管线相衔接的部位。</w:t>
      </w:r>
    </w:p>
    <w:p w14:paraId="2ED9114C">
      <w:pPr>
        <w:rPr>
          <w:rFonts w:ascii="Times New Roman" w:hAnsi="Times New Roman"/>
          <w:color w:val="auto"/>
          <w:highlight w:val="none"/>
        </w:rPr>
      </w:pPr>
      <w:r>
        <w:rPr>
          <w:rFonts w:hint="eastAsia" w:ascii="黑体" w:hAnsi="黑体" w:eastAsia="黑体" w:cs="黑体"/>
          <w:b/>
          <w:bCs/>
          <w:color w:val="auto"/>
          <w:highlight w:val="none"/>
        </w:rPr>
        <w:t>2.0.11 集水坑</w:t>
      </w:r>
      <w:r>
        <w:rPr>
          <w:rFonts w:ascii="黑体" w:hAnsi="黑体" w:eastAsia="黑体" w:cs="黑体"/>
          <w:b/>
          <w:bCs/>
          <w:color w:val="auto"/>
          <w:highlight w:val="none"/>
        </w:rPr>
        <w:tab/>
      </w:r>
      <w:r>
        <w:rPr>
          <w:rFonts w:hint="eastAsia" w:ascii="Times New Roman" w:hAnsi="Times New Roman"/>
          <w:color w:val="auto"/>
          <w:highlight w:val="none"/>
        </w:rPr>
        <w:t>sump  pit</w:t>
      </w:r>
    </w:p>
    <w:p w14:paraId="58794D9A">
      <w:pPr>
        <w:ind w:firstLine="567"/>
        <w:rPr>
          <w:rFonts w:ascii="Times New Roman" w:hAnsi="Times New Roman"/>
          <w:color w:val="auto"/>
          <w:highlight w:val="none"/>
        </w:rPr>
      </w:pPr>
      <w:r>
        <w:rPr>
          <w:rFonts w:hint="eastAsia" w:ascii="Times New Roman" w:hAnsi="Times New Roman"/>
          <w:color w:val="auto"/>
          <w:highlight w:val="none"/>
        </w:rPr>
        <w:t>用来收集综合管廊内部渗漏水或管道排空水等的构筑物。</w:t>
      </w:r>
    </w:p>
    <w:p w14:paraId="40A2F83E">
      <w:pPr>
        <w:rPr>
          <w:rFonts w:ascii="Times New Roman" w:hAnsi="Times New Roman"/>
          <w:color w:val="auto"/>
          <w:highlight w:val="none"/>
        </w:rPr>
      </w:pPr>
      <w:r>
        <w:rPr>
          <w:rFonts w:hint="eastAsia" w:ascii="黑体" w:hAnsi="黑体" w:eastAsia="黑体" w:cs="黑体"/>
          <w:b/>
          <w:bCs/>
          <w:color w:val="auto"/>
          <w:highlight w:val="none"/>
        </w:rPr>
        <w:t>2.0.12  安全标识</w:t>
      </w:r>
      <w:r>
        <w:rPr>
          <w:rFonts w:hint="eastAsia" w:ascii="Times New Roman" w:hAnsi="Times New Roman"/>
          <w:color w:val="auto"/>
          <w:highlight w:val="none"/>
        </w:rPr>
        <w:t xml:space="preserve">    safety mark</w:t>
      </w:r>
    </w:p>
    <w:p w14:paraId="471A408F">
      <w:pPr>
        <w:ind w:firstLine="567"/>
        <w:rPr>
          <w:rFonts w:ascii="Times New Roman" w:hAnsi="Times New Roman"/>
          <w:color w:val="auto"/>
          <w:highlight w:val="none"/>
        </w:rPr>
      </w:pPr>
      <w:r>
        <w:rPr>
          <w:rFonts w:hint="eastAsia" w:ascii="Times New Roman" w:hAnsi="Times New Roman"/>
          <w:color w:val="auto"/>
          <w:highlight w:val="none"/>
        </w:rPr>
        <w:t>为便于综合管廊内部管线分类管理、安全引导、警告警示等而设置的铭牌或颜色标识。</w:t>
      </w:r>
    </w:p>
    <w:p w14:paraId="552B8637">
      <w:pPr>
        <w:rPr>
          <w:rFonts w:ascii="Times New Roman" w:hAnsi="Times New Roman"/>
          <w:color w:val="auto"/>
          <w:highlight w:val="none"/>
        </w:rPr>
      </w:pPr>
      <w:r>
        <w:rPr>
          <w:rFonts w:hint="eastAsia" w:ascii="黑体" w:hAnsi="黑体" w:eastAsia="黑体" w:cs="黑体"/>
          <w:b/>
          <w:bCs/>
          <w:color w:val="auto"/>
          <w:highlight w:val="none"/>
        </w:rPr>
        <w:t>2.0.13  舱 室</w:t>
      </w:r>
      <w:r>
        <w:rPr>
          <w:rFonts w:ascii="黑体" w:hAnsi="黑体" w:eastAsia="黑体" w:cs="黑体"/>
          <w:b/>
          <w:bCs/>
          <w:color w:val="auto"/>
          <w:highlight w:val="none"/>
        </w:rPr>
        <w:tab/>
      </w:r>
      <w:r>
        <w:rPr>
          <w:rFonts w:hint="eastAsia" w:ascii="Times New Roman" w:hAnsi="Times New Roman"/>
          <w:color w:val="auto"/>
          <w:highlight w:val="none"/>
        </w:rPr>
        <w:t>compartment</w:t>
      </w:r>
    </w:p>
    <w:p w14:paraId="3B2CB3FD">
      <w:pPr>
        <w:spacing w:before="0" w:beforeLines="-2147483648" w:after="0" w:afterLines="-2147483648"/>
        <w:ind w:firstLine="567"/>
        <w:outlineLvl w:val="9"/>
        <w:rPr>
          <w:rFonts w:hint="eastAsia" w:ascii="Times New Roman" w:hAnsi="Times New Roman" w:cs="Times New Roman"/>
          <w:color w:val="auto"/>
          <w:sz w:val="21"/>
          <w:szCs w:val="21"/>
          <w:highlight w:val="none"/>
        </w:rPr>
      </w:pPr>
      <w:bookmarkStart w:id="52" w:name="_Toc21305"/>
      <w:r>
        <w:rPr>
          <w:rFonts w:hint="eastAsia" w:ascii="Times New Roman" w:hAnsi="Times New Roman"/>
          <w:color w:val="auto"/>
          <w:highlight w:val="none"/>
        </w:rPr>
        <w:t>由结构本体或防火墙分割的用于敷设管线的封闭空间。</w:t>
      </w:r>
      <w:bookmarkEnd w:id="52"/>
    </w:p>
    <w:p w14:paraId="51372CAC">
      <w:pPr>
        <w:pStyle w:val="34"/>
        <w:spacing w:before="156" w:beforeLines="50" w:after="156" w:afterLines="50" w:line="400" w:lineRule="exact"/>
        <w:outlineLvl w:val="2"/>
        <w:rPr>
          <w:rFonts w:ascii="黑体" w:hAnsi="黑体" w:cs="黑体"/>
          <w:color w:val="auto"/>
          <w:sz w:val="21"/>
          <w:szCs w:val="21"/>
          <w:highlight w:val="none"/>
        </w:rPr>
      </w:pPr>
      <w:bookmarkStart w:id="53" w:name="_Toc8933"/>
      <w:bookmarkStart w:id="54" w:name="_Toc30441"/>
      <w:r>
        <w:rPr>
          <w:rFonts w:hint="eastAsia" w:ascii="黑体" w:hAnsi="黑体" w:cs="黑体"/>
          <w:color w:val="auto"/>
          <w:sz w:val="21"/>
          <w:szCs w:val="21"/>
          <w:highlight w:val="none"/>
        </w:rPr>
        <w:t>2.</w:t>
      </w:r>
      <w:r>
        <w:rPr>
          <w:rFonts w:hint="eastAsia" w:ascii="黑体" w:hAnsi="黑体" w:cs="黑体"/>
          <w:color w:val="auto"/>
          <w:sz w:val="21"/>
          <w:szCs w:val="21"/>
          <w:highlight w:val="none"/>
          <w:lang w:val="en-US" w:eastAsia="zh-CN"/>
        </w:rPr>
        <w:t>0.14</w:t>
      </w:r>
      <w:r>
        <w:rPr>
          <w:rFonts w:ascii="黑体" w:hAnsi="黑体" w:cs="黑体"/>
          <w:color w:val="auto"/>
          <w:sz w:val="21"/>
          <w:szCs w:val="21"/>
          <w:highlight w:val="none"/>
        </w:rPr>
        <w:t xml:space="preserve"> </w:t>
      </w:r>
      <w:r>
        <w:rPr>
          <w:rFonts w:hint="eastAsia" w:ascii="黑体" w:hAnsi="黑体" w:cs="黑体"/>
          <w:color w:val="auto"/>
          <w:sz w:val="21"/>
          <w:szCs w:val="21"/>
          <w:highlight w:val="none"/>
        </w:rPr>
        <w:t>综合工作井</w:t>
      </w:r>
      <w:bookmarkEnd w:id="49"/>
      <w:r>
        <w:rPr>
          <w:rFonts w:hint="eastAsia" w:ascii="黑体" w:hAnsi="黑体" w:cs="黑体"/>
          <w:color w:val="auto"/>
          <w:sz w:val="21"/>
          <w:szCs w:val="21"/>
          <w:highlight w:val="none"/>
        </w:rPr>
        <w:t xml:space="preserve"> </w:t>
      </w:r>
      <w:r>
        <w:rPr>
          <w:rFonts w:hint="eastAsia" w:ascii="Times New Roman" w:hAnsi="Times New Roman"/>
          <w:b w:val="0"/>
          <w:bCs w:val="0"/>
          <w:color w:val="auto"/>
          <w:sz w:val="21"/>
          <w:szCs w:val="21"/>
          <w:highlight w:val="none"/>
        </w:rPr>
        <w:t>comprehensive working shaft</w:t>
      </w:r>
      <w:bookmarkEnd w:id="50"/>
      <w:bookmarkEnd w:id="51"/>
      <w:bookmarkEnd w:id="53"/>
      <w:bookmarkEnd w:id="54"/>
    </w:p>
    <w:p w14:paraId="07CB8216">
      <w:pPr>
        <w:spacing w:line="360" w:lineRule="auto"/>
        <w:ind w:firstLine="560"/>
        <w:rPr>
          <w:rFonts w:ascii="Times New Roman" w:hAnsi="Times New Roman"/>
          <w:color w:val="auto"/>
          <w:highlight w:val="none"/>
        </w:rPr>
      </w:pPr>
      <w:r>
        <w:rPr>
          <w:rFonts w:hint="eastAsia" w:ascii="Times New Roman" w:hAnsi="Times New Roman"/>
          <w:color w:val="auto"/>
          <w:highlight w:val="none"/>
        </w:rPr>
        <w:t>同时具备通风、</w:t>
      </w:r>
      <w:r>
        <w:rPr>
          <w:rFonts w:hint="eastAsia" w:ascii="Times New Roman" w:hAnsi="Times New Roman"/>
          <w:color w:val="auto"/>
          <w:highlight w:val="none"/>
          <w:lang w:val="en-US" w:eastAsia="zh-CN"/>
        </w:rPr>
        <w:t>排水、吊装、分支</w:t>
      </w:r>
      <w:r>
        <w:rPr>
          <w:rFonts w:hint="eastAsia" w:ascii="Times New Roman" w:hAnsi="Times New Roman"/>
          <w:color w:val="auto"/>
          <w:highlight w:val="none"/>
        </w:rPr>
        <w:t>、人员出入等两种或多种功能的小型综合管廊节点。</w:t>
      </w:r>
    </w:p>
    <w:p w14:paraId="4CB99C53">
      <w:pPr>
        <w:spacing w:line="360" w:lineRule="auto"/>
        <w:rPr>
          <w:rFonts w:ascii="Times New Roman" w:hAnsi="Times New Roman"/>
          <w:color w:val="auto"/>
          <w:sz w:val="28"/>
          <w:highlight w:val="none"/>
        </w:rPr>
      </w:pPr>
      <w:r>
        <w:rPr>
          <w:color w:val="auto"/>
          <w:highlight w:val="none"/>
        </w:rPr>
        <w:br w:type="page"/>
      </w:r>
    </w:p>
    <w:bookmarkEnd w:id="27"/>
    <w:bookmarkEnd w:id="28"/>
    <w:p w14:paraId="07AEEDD4">
      <w:pPr>
        <w:pStyle w:val="2"/>
        <w:spacing w:before="300" w:after="300" w:line="400" w:lineRule="exact"/>
        <w:jc w:val="center"/>
        <w:rPr>
          <w:rFonts w:ascii="黑体" w:hAnsi="黑体"/>
          <w:color w:val="auto"/>
          <w:highlight w:val="none"/>
        </w:rPr>
      </w:pPr>
      <w:bookmarkStart w:id="55" w:name="_Toc1587"/>
      <w:bookmarkStart w:id="56" w:name="_Toc5681"/>
      <w:bookmarkStart w:id="57" w:name="_Toc4623"/>
      <w:r>
        <w:rPr>
          <w:rFonts w:hint="eastAsia" w:ascii="黑体" w:hAnsi="黑体"/>
          <w:color w:val="auto"/>
          <w:highlight w:val="none"/>
        </w:rPr>
        <w:t>3  基本规定</w:t>
      </w:r>
      <w:bookmarkEnd w:id="55"/>
      <w:bookmarkEnd w:id="56"/>
      <w:bookmarkEnd w:id="57"/>
    </w:p>
    <w:p w14:paraId="02F89873">
      <w:pPr>
        <w:rPr>
          <w:rFonts w:hint="eastAsia" w:ascii="Times New Roman" w:hAnsi="Times New Roman" w:eastAsia="宋体" w:cs="Times New Roman"/>
          <w:b w:val="0"/>
          <w:bCs w:val="0"/>
          <w:color w:val="auto"/>
          <w:highlight w:val="none"/>
        </w:rPr>
      </w:pPr>
      <w:r>
        <w:rPr>
          <w:rFonts w:hint="default" w:ascii="黑体" w:hAnsi="黑体" w:eastAsia="黑体" w:cs="黑体"/>
          <w:b/>
          <w:bCs/>
          <w:color w:val="auto"/>
          <w:highlight w:val="none"/>
        </w:rPr>
        <w:t>3.0.1</w:t>
      </w:r>
      <w:r>
        <w:rPr>
          <w:rFonts w:hint="eastAsia" w:ascii="黑体" w:hAnsi="黑体" w:eastAsia="黑体" w:cs="黑体"/>
          <w:b/>
          <w:bCs/>
          <w:color w:val="auto"/>
          <w:highlight w:val="none"/>
        </w:rPr>
        <w:t xml:space="preserve"> </w:t>
      </w:r>
      <w:r>
        <w:rPr>
          <w:rFonts w:hint="eastAsia" w:ascii="Times New Roman" w:hAnsi="Times New Roman"/>
          <w:color w:val="auto"/>
          <w:highlight w:val="none"/>
        </w:rPr>
        <w:t>给水、雨水、污水、再生水、</w:t>
      </w:r>
      <w:r>
        <w:rPr>
          <w:rFonts w:hint="eastAsia" w:ascii="Times New Roman" w:hAnsi="Times New Roman"/>
          <w:color w:val="auto"/>
          <w:highlight w:val="none"/>
          <w:lang w:val="en-US" w:eastAsia="zh-CN"/>
        </w:rPr>
        <w:t>热力、</w:t>
      </w:r>
      <w:r>
        <w:rPr>
          <w:rFonts w:hint="eastAsia" w:ascii="Times New Roman" w:hAnsi="Times New Roman"/>
          <w:color w:val="auto"/>
          <w:highlight w:val="none"/>
        </w:rPr>
        <w:t>电力、通信等城市工程管线可纳入小型综合管廊。</w:t>
      </w:r>
    </w:p>
    <w:p w14:paraId="620B4F0F">
      <w:pPr>
        <w:rPr>
          <w:rFonts w:hint="eastAsia" w:ascii="黑体" w:hAnsi="黑体" w:eastAsia="黑体" w:cs="黑体"/>
          <w:b/>
          <w:bCs/>
          <w:color w:val="auto"/>
          <w:highlight w:val="none"/>
        </w:rPr>
      </w:pPr>
      <w:r>
        <w:rPr>
          <w:rFonts w:hint="eastAsia" w:ascii="Times New Roman" w:hAnsi="Times New Roman"/>
          <w:color w:val="auto"/>
          <w:highlight w:val="none"/>
        </w:rPr>
        <w:t>【</w:t>
      </w:r>
      <w:r>
        <w:rPr>
          <w:rFonts w:hint="eastAsia" w:ascii="Times New Roman" w:hAnsi="Times New Roman"/>
          <w:b/>
          <w:bCs/>
          <w:color w:val="auto"/>
          <w:highlight w:val="none"/>
        </w:rPr>
        <w:t>条文说明：</w:t>
      </w:r>
      <w:r>
        <w:rPr>
          <w:rFonts w:hint="eastAsia" w:ascii="Times New Roman" w:hAnsi="Times New Roman" w:cs="Times New Roman"/>
          <w:color w:val="auto"/>
          <w:highlight w:val="none"/>
          <w:lang w:val="en-US" w:eastAsia="zh-CN"/>
        </w:rPr>
        <w:t>考虑到小型管廊竖向净高对热力管道运维巡检的影响，若纳入热力管道时，断面净高应≥2米。</w:t>
      </w:r>
      <w:r>
        <w:rPr>
          <w:rFonts w:hint="eastAsia" w:ascii="Times New Roman" w:hAnsi="Times New Roman"/>
          <w:color w:val="auto"/>
          <w:highlight w:val="none"/>
        </w:rPr>
        <w:t>】</w:t>
      </w:r>
    </w:p>
    <w:p w14:paraId="6ED3F4BF">
      <w:pPr>
        <w:rPr>
          <w:rFonts w:hint="eastAsia" w:ascii="黑体" w:hAnsi="黑体" w:eastAsia="黑体" w:cs="黑体"/>
          <w:b/>
          <w:bCs/>
          <w:color w:val="auto"/>
          <w:highlight w:val="none"/>
          <w:lang w:eastAsia="zh-CN"/>
        </w:rPr>
      </w:pPr>
      <w:r>
        <w:rPr>
          <w:rFonts w:ascii="黑体" w:hAnsi="黑体" w:eastAsia="黑体" w:cs="黑体"/>
          <w:b/>
          <w:bCs/>
          <w:color w:val="auto"/>
          <w:highlight w:val="none"/>
        </w:rPr>
        <w:t>3.</w:t>
      </w:r>
      <w:r>
        <w:rPr>
          <w:rFonts w:hint="eastAsia" w:ascii="黑体" w:hAnsi="黑体" w:eastAsia="黑体" w:cs="黑体"/>
          <w:b/>
          <w:bCs/>
          <w:color w:val="auto"/>
          <w:highlight w:val="none"/>
          <w:lang w:val="en-US" w:eastAsia="zh-CN"/>
        </w:rPr>
        <w:t>0.2</w:t>
      </w:r>
      <w:r>
        <w:rPr>
          <w:rFonts w:ascii="Times New Roman" w:hAnsi="Times New Roman"/>
          <w:color w:val="auto"/>
          <w:highlight w:val="none"/>
        </w:rPr>
        <w:t xml:space="preserve"> </w:t>
      </w:r>
      <w:r>
        <w:rPr>
          <w:rFonts w:hint="eastAsia" w:ascii="Times New Roman" w:hAnsi="Times New Roman"/>
          <w:color w:val="auto"/>
          <w:highlight w:val="none"/>
        </w:rPr>
        <w:t>小型综合管廊工程建设应符合厦门市</w:t>
      </w:r>
      <w:r>
        <w:rPr>
          <w:rFonts w:hint="eastAsia" w:ascii="Times New Roman" w:hAnsi="Times New Roman"/>
          <w:color w:val="auto"/>
          <w:highlight w:val="none"/>
          <w:lang w:val="en-US" w:eastAsia="zh-CN"/>
        </w:rPr>
        <w:t>国土空间总体规划、片区详细规划、市政专项规划及</w:t>
      </w:r>
      <w:r>
        <w:rPr>
          <w:rFonts w:hint="eastAsia" w:ascii="Times New Roman" w:hAnsi="Times New Roman"/>
          <w:color w:val="auto"/>
          <w:highlight w:val="none"/>
        </w:rPr>
        <w:t>综合管廊工程专项规划</w:t>
      </w:r>
      <w:r>
        <w:rPr>
          <w:rFonts w:hint="eastAsia" w:ascii="Times New Roman" w:hAnsi="Times New Roman"/>
          <w:color w:val="auto"/>
          <w:highlight w:val="none"/>
          <w:lang w:val="en-US" w:eastAsia="zh-CN"/>
        </w:rPr>
        <w:t>等</w:t>
      </w:r>
      <w:r>
        <w:rPr>
          <w:rFonts w:hint="eastAsia" w:ascii="Times New Roman" w:hAnsi="Times New Roman"/>
          <w:color w:val="auto"/>
          <w:highlight w:val="none"/>
        </w:rPr>
        <w:t>。</w:t>
      </w:r>
    </w:p>
    <w:p w14:paraId="6DA25375">
      <w:pPr>
        <w:rPr>
          <w:rFonts w:hint="eastAsia" w:ascii="Times New Roman" w:hAnsi="Times New Roman"/>
          <w:color w:val="auto"/>
          <w:highlight w:val="none"/>
        </w:rPr>
      </w:pPr>
      <w:r>
        <w:rPr>
          <w:rFonts w:hint="eastAsia" w:ascii="黑体" w:hAnsi="黑体" w:eastAsia="黑体" w:cs="黑体"/>
          <w:b/>
          <w:bCs/>
          <w:color w:val="auto"/>
          <w:highlight w:val="none"/>
        </w:rPr>
        <w:t>3.</w:t>
      </w:r>
      <w:r>
        <w:rPr>
          <w:rFonts w:hint="eastAsia" w:ascii="黑体" w:hAnsi="黑体" w:eastAsia="黑体" w:cs="黑体"/>
          <w:b/>
          <w:bCs/>
          <w:color w:val="auto"/>
          <w:highlight w:val="none"/>
          <w:lang w:val="en-US" w:eastAsia="zh-CN"/>
        </w:rPr>
        <w:t>0.3</w:t>
      </w:r>
      <w:r>
        <w:rPr>
          <w:rFonts w:ascii="黑体" w:hAnsi="黑体" w:eastAsia="黑体" w:cs="黑体"/>
          <w:b/>
          <w:bCs/>
          <w:color w:val="auto"/>
          <w:highlight w:val="none"/>
        </w:rPr>
        <w:t xml:space="preserve"> </w:t>
      </w:r>
      <w:r>
        <w:rPr>
          <w:rFonts w:hint="eastAsia" w:ascii="Times New Roman" w:hAnsi="Times New Roman"/>
          <w:color w:val="auto"/>
          <w:highlight w:val="none"/>
        </w:rPr>
        <w:t>小型综合管廊宜在城市更新区、商务核心区、地下空间开发区、交通枢纽片区</w:t>
      </w:r>
      <w:r>
        <w:rPr>
          <w:rFonts w:hint="eastAsia" w:ascii="Times New Roman" w:hAnsi="Times New Roman"/>
          <w:color w:val="auto"/>
          <w:highlight w:val="none"/>
          <w:lang w:val="en-US" w:eastAsia="zh-CN"/>
        </w:rPr>
        <w:t>、</w:t>
      </w:r>
      <w:r>
        <w:rPr>
          <w:rFonts w:hint="eastAsia" w:ascii="Times New Roman" w:hAnsi="Times New Roman"/>
          <w:color w:val="auto"/>
          <w:highlight w:val="none"/>
        </w:rPr>
        <w:t>轨道交通建设等重点片区，旧城及城中村改造区，管线敷设集中区，架空线入地</w:t>
      </w:r>
      <w:r>
        <w:rPr>
          <w:rFonts w:hint="eastAsia" w:ascii="Times New Roman" w:hAnsi="Times New Roman"/>
          <w:color w:val="auto"/>
          <w:highlight w:val="none"/>
          <w:lang w:eastAsia="zh-CN"/>
        </w:rPr>
        <w:t>，</w:t>
      </w:r>
      <w:r>
        <w:rPr>
          <w:rFonts w:hint="eastAsia" w:ascii="Times New Roman" w:hAnsi="Times New Roman"/>
          <w:color w:val="auto"/>
          <w:highlight w:val="none"/>
        </w:rPr>
        <w:t>老旧管线改造</w:t>
      </w:r>
      <w:r>
        <w:rPr>
          <w:rFonts w:hint="eastAsia" w:ascii="Times New Roman" w:hAnsi="Times New Roman"/>
          <w:color w:val="auto"/>
          <w:highlight w:val="none"/>
          <w:lang w:eastAsia="zh-CN"/>
        </w:rPr>
        <w:t>，</w:t>
      </w:r>
      <w:r>
        <w:rPr>
          <w:rFonts w:hint="eastAsia" w:ascii="Times New Roman" w:hAnsi="Times New Roman"/>
          <w:color w:val="auto"/>
          <w:highlight w:val="none"/>
          <w:lang w:val="en-US" w:eastAsia="zh-CN"/>
        </w:rPr>
        <w:t>以及城市各类园区</w:t>
      </w:r>
      <w:r>
        <w:rPr>
          <w:rFonts w:hint="eastAsia" w:ascii="Times New Roman" w:hAnsi="Times New Roman"/>
          <w:color w:val="auto"/>
          <w:highlight w:val="none"/>
        </w:rPr>
        <w:t>等区域</w:t>
      </w:r>
      <w:r>
        <w:rPr>
          <w:rFonts w:hint="eastAsia" w:ascii="Times New Roman" w:hAnsi="Times New Roman"/>
          <w:color w:val="auto"/>
          <w:highlight w:val="none"/>
          <w:lang w:val="en-US" w:eastAsia="zh-CN"/>
        </w:rPr>
        <w:t>规划建设</w:t>
      </w:r>
      <w:r>
        <w:rPr>
          <w:rFonts w:hint="eastAsia" w:ascii="Times New Roman" w:hAnsi="Times New Roman"/>
          <w:color w:val="auto"/>
          <w:highlight w:val="none"/>
        </w:rPr>
        <w:t>。</w:t>
      </w:r>
    </w:p>
    <w:p w14:paraId="7AF59BC4">
      <w:pPr>
        <w:rPr>
          <w:rFonts w:hint="eastAsia" w:ascii="Times New Roman" w:hAnsi="Times New Roman" w:eastAsia="宋体"/>
          <w:color w:val="auto"/>
          <w:highlight w:val="none"/>
          <w:lang w:eastAsia="zh-CN"/>
        </w:rPr>
      </w:pPr>
      <w:r>
        <w:rPr>
          <w:rFonts w:hint="eastAsia" w:ascii="Times New Roman" w:hAnsi="Times New Roman"/>
          <w:color w:val="auto"/>
          <w:highlight w:val="none"/>
          <w:lang w:eastAsia="zh-CN"/>
        </w:rPr>
        <w:t>【</w:t>
      </w:r>
      <w:r>
        <w:rPr>
          <w:rFonts w:hint="eastAsia" w:ascii="Times New Roman" w:hAnsi="Times New Roman"/>
          <w:b/>
          <w:bCs/>
          <w:color w:val="auto"/>
          <w:highlight w:val="none"/>
          <w:lang w:val="en-US" w:eastAsia="zh-CN"/>
        </w:rPr>
        <w:t>条文说明：</w:t>
      </w:r>
      <w:r>
        <w:rPr>
          <w:rFonts w:hint="eastAsia" w:ascii="Times New Roman" w:hAnsi="Times New Roman"/>
          <w:color w:val="auto"/>
          <w:highlight w:val="none"/>
          <w:lang w:val="en-US" w:eastAsia="zh-CN"/>
        </w:rPr>
        <w:t>结合《城市地下综合管廊建设规划技术导则》，优化本条内容</w:t>
      </w:r>
      <w:r>
        <w:rPr>
          <w:rFonts w:hint="eastAsia" w:ascii="Times New Roman" w:hAnsi="Times New Roman"/>
          <w:color w:val="auto"/>
          <w:highlight w:val="none"/>
          <w:lang w:eastAsia="zh-CN"/>
        </w:rPr>
        <w:t>】</w:t>
      </w:r>
    </w:p>
    <w:p w14:paraId="0768A1D9">
      <w:pPr>
        <w:rPr>
          <w:rFonts w:ascii="Times New Roman" w:hAnsi="Times New Roman"/>
          <w:color w:val="auto"/>
          <w:highlight w:val="none"/>
        </w:rPr>
      </w:pPr>
      <w:r>
        <w:rPr>
          <w:rFonts w:hint="eastAsia" w:ascii="黑体" w:hAnsi="黑体" w:eastAsia="黑体" w:cs="黑体"/>
          <w:b/>
          <w:bCs/>
          <w:color w:val="auto"/>
          <w:highlight w:val="none"/>
        </w:rPr>
        <w:t>3.</w:t>
      </w:r>
      <w:r>
        <w:rPr>
          <w:rFonts w:hint="eastAsia" w:ascii="黑体" w:hAnsi="黑体" w:eastAsia="黑体" w:cs="黑体"/>
          <w:b/>
          <w:bCs/>
          <w:color w:val="auto"/>
          <w:highlight w:val="none"/>
          <w:lang w:val="en-US" w:eastAsia="zh-CN"/>
        </w:rPr>
        <w:t>0.4</w:t>
      </w:r>
      <w:r>
        <w:rPr>
          <w:rFonts w:hint="eastAsia" w:ascii="黑体" w:hAnsi="黑体" w:eastAsia="黑体" w:cs="黑体"/>
          <w:b/>
          <w:bCs/>
          <w:color w:val="auto"/>
          <w:highlight w:val="none"/>
        </w:rPr>
        <w:t xml:space="preserve"> </w:t>
      </w:r>
      <w:r>
        <w:rPr>
          <w:rFonts w:hint="eastAsia" w:ascii="Times New Roman" w:hAnsi="Times New Roman"/>
          <w:color w:val="auto"/>
          <w:highlight w:val="none"/>
        </w:rPr>
        <w:t>小型综合管廊规划与建设应与地下空间、道路交通及环境景观等城市基础设施衔接</w:t>
      </w:r>
      <w:r>
        <w:rPr>
          <w:rFonts w:hint="eastAsia" w:ascii="Times New Roman" w:hAnsi="Times New Roman"/>
          <w:color w:val="auto"/>
          <w:highlight w:val="none"/>
          <w:lang w:eastAsia="zh-CN"/>
        </w:rPr>
        <w:t>、</w:t>
      </w:r>
      <w:r>
        <w:rPr>
          <w:rFonts w:hint="eastAsia" w:ascii="Times New Roman" w:hAnsi="Times New Roman"/>
          <w:color w:val="auto"/>
          <w:highlight w:val="none"/>
        </w:rPr>
        <w:t>协调。</w:t>
      </w:r>
    </w:p>
    <w:p w14:paraId="5415BC80">
      <w:pPr>
        <w:rPr>
          <w:rFonts w:ascii="Times New Roman" w:hAnsi="Times New Roman"/>
          <w:color w:val="auto"/>
          <w:highlight w:val="none"/>
        </w:rPr>
      </w:pPr>
      <w:r>
        <w:rPr>
          <w:rFonts w:hint="eastAsia" w:ascii="黑体" w:hAnsi="黑体" w:eastAsia="黑体" w:cs="黑体"/>
          <w:b/>
          <w:bCs/>
          <w:color w:val="auto"/>
          <w:highlight w:val="none"/>
        </w:rPr>
        <w:t>3.</w:t>
      </w:r>
      <w:r>
        <w:rPr>
          <w:rFonts w:hint="eastAsia" w:ascii="黑体" w:hAnsi="黑体" w:eastAsia="黑体" w:cs="黑体"/>
          <w:b/>
          <w:bCs/>
          <w:color w:val="auto"/>
          <w:highlight w:val="none"/>
          <w:lang w:val="en-US" w:eastAsia="zh-CN"/>
        </w:rPr>
        <w:t>0.5</w:t>
      </w:r>
      <w:r>
        <w:rPr>
          <w:rFonts w:ascii="黑体" w:hAnsi="黑体" w:eastAsia="黑体" w:cs="黑体"/>
          <w:b/>
          <w:bCs/>
          <w:color w:val="auto"/>
          <w:highlight w:val="none"/>
        </w:rPr>
        <w:t xml:space="preserve"> </w:t>
      </w:r>
      <w:r>
        <w:rPr>
          <w:rFonts w:hint="eastAsia" w:ascii="Times New Roman" w:hAnsi="Times New Roman"/>
          <w:color w:val="auto"/>
          <w:highlight w:val="none"/>
        </w:rPr>
        <w:t>小型综合管廊工程建设应符合现行工程建设强制性国家规范《特殊设施工程项目规范》GB55028的有关规定。</w:t>
      </w:r>
    </w:p>
    <w:p w14:paraId="60ED5CF4">
      <w:pPr>
        <w:rPr>
          <w:rFonts w:ascii="Times New Roman" w:hAnsi="Times New Roman"/>
          <w:color w:val="auto"/>
          <w:highlight w:val="none"/>
        </w:rPr>
      </w:pPr>
      <w:r>
        <w:rPr>
          <w:rFonts w:hint="eastAsia" w:ascii="黑体" w:hAnsi="黑体" w:eastAsia="黑体" w:cs="黑体"/>
          <w:b/>
          <w:bCs/>
          <w:color w:val="auto"/>
          <w:highlight w:val="none"/>
        </w:rPr>
        <w:t>3.</w:t>
      </w:r>
      <w:r>
        <w:rPr>
          <w:rFonts w:hint="eastAsia" w:ascii="黑体" w:hAnsi="黑体" w:eastAsia="黑体" w:cs="黑体"/>
          <w:b/>
          <w:bCs/>
          <w:color w:val="auto"/>
          <w:highlight w:val="none"/>
          <w:lang w:val="en-US" w:eastAsia="zh-CN"/>
        </w:rPr>
        <w:t>0.6</w:t>
      </w:r>
      <w:r>
        <w:rPr>
          <w:rFonts w:hint="eastAsia" w:ascii="黑体" w:hAnsi="黑体" w:eastAsia="黑体" w:cs="黑体"/>
          <w:b/>
          <w:bCs/>
          <w:color w:val="auto"/>
          <w:highlight w:val="none"/>
        </w:rPr>
        <w:t xml:space="preserve"> </w:t>
      </w:r>
      <w:r>
        <w:rPr>
          <w:rFonts w:hint="eastAsia" w:ascii="Times New Roman" w:hAnsi="Times New Roman"/>
          <w:color w:val="auto"/>
          <w:highlight w:val="none"/>
        </w:rPr>
        <w:t>小型综合管廊的附属设施应根据入廊管线运行维护需求，同步建设通风、排水、消防、标识、防入侵等。</w:t>
      </w:r>
    </w:p>
    <w:p w14:paraId="0D13F069">
      <w:pPr>
        <w:rPr>
          <w:rFonts w:ascii="Times New Roman" w:hAnsi="Times New Roman"/>
          <w:color w:val="auto"/>
          <w:highlight w:val="none"/>
        </w:rPr>
      </w:pPr>
      <w:r>
        <w:rPr>
          <w:rFonts w:hint="eastAsia" w:ascii="黑体" w:hAnsi="黑体" w:eastAsia="黑体" w:cs="黑体"/>
          <w:b/>
          <w:bCs/>
          <w:color w:val="auto"/>
          <w:highlight w:val="none"/>
        </w:rPr>
        <w:t>3.</w:t>
      </w:r>
      <w:r>
        <w:rPr>
          <w:rFonts w:hint="eastAsia" w:ascii="黑体" w:hAnsi="黑体" w:eastAsia="黑体" w:cs="黑体"/>
          <w:b/>
          <w:bCs/>
          <w:color w:val="auto"/>
          <w:highlight w:val="none"/>
          <w:lang w:val="en-US" w:eastAsia="zh-CN"/>
        </w:rPr>
        <w:t>0.7</w:t>
      </w:r>
      <w:r>
        <w:rPr>
          <w:rFonts w:hint="eastAsia" w:ascii="Times New Roman" w:hAnsi="Times New Roman"/>
          <w:color w:val="auto"/>
          <w:highlight w:val="none"/>
        </w:rPr>
        <w:t xml:space="preserve"> 纳入小型综合管廊的工程管线应同步进行专项管线设计。</w:t>
      </w:r>
    </w:p>
    <w:p w14:paraId="50FA919C">
      <w:pPr>
        <w:rPr>
          <w:rFonts w:ascii="Times New Roman" w:hAnsi="Times New Roman"/>
          <w:color w:val="auto"/>
          <w:highlight w:val="none"/>
        </w:rPr>
      </w:pPr>
      <w:r>
        <w:rPr>
          <w:rFonts w:hint="eastAsia" w:ascii="黑体" w:hAnsi="黑体" w:eastAsia="黑体" w:cs="黑体"/>
          <w:b/>
          <w:bCs/>
          <w:color w:val="auto"/>
          <w:highlight w:val="none"/>
        </w:rPr>
        <w:t>3.</w:t>
      </w:r>
      <w:r>
        <w:rPr>
          <w:rFonts w:hint="eastAsia" w:ascii="黑体" w:hAnsi="黑体" w:eastAsia="黑体" w:cs="黑体"/>
          <w:b/>
          <w:bCs/>
          <w:color w:val="auto"/>
          <w:highlight w:val="none"/>
          <w:lang w:val="en-US" w:eastAsia="zh-CN"/>
        </w:rPr>
        <w:t>0.8</w:t>
      </w:r>
      <w:r>
        <w:rPr>
          <w:rFonts w:hint="eastAsia" w:ascii="黑体" w:hAnsi="黑体" w:eastAsia="黑体" w:cs="黑体"/>
          <w:b/>
          <w:bCs/>
          <w:color w:val="auto"/>
          <w:highlight w:val="none"/>
        </w:rPr>
        <w:t xml:space="preserve"> </w:t>
      </w:r>
      <w:r>
        <w:rPr>
          <w:rFonts w:hint="eastAsia" w:ascii="Times New Roman" w:hAnsi="Times New Roman"/>
          <w:color w:val="auto"/>
          <w:highlight w:val="none"/>
        </w:rPr>
        <w:t>纳入小型综合管廊的工程管线应符合小型管廊总体设计的要求及国家现行管线设计标准的规定。</w:t>
      </w:r>
    </w:p>
    <w:p w14:paraId="53C032B8">
      <w:pPr>
        <w:rPr>
          <w:rFonts w:ascii="Times New Roman" w:hAnsi="Times New Roman"/>
          <w:color w:val="auto"/>
          <w:highlight w:val="none"/>
        </w:rPr>
      </w:pPr>
      <w:r>
        <w:rPr>
          <w:rFonts w:ascii="黑体" w:hAnsi="黑体" w:eastAsia="黑体" w:cs="黑体"/>
          <w:b/>
          <w:bCs/>
          <w:color w:val="auto"/>
          <w:highlight w:val="none"/>
        </w:rPr>
        <w:t>3</w:t>
      </w:r>
      <w:r>
        <w:rPr>
          <w:rFonts w:hint="eastAsia" w:ascii="黑体" w:hAnsi="黑体" w:eastAsia="黑体" w:cs="黑体"/>
          <w:b/>
          <w:bCs/>
          <w:color w:val="auto"/>
          <w:highlight w:val="none"/>
          <w:lang w:val="en-US" w:eastAsia="zh-CN"/>
        </w:rPr>
        <w:t>.0</w:t>
      </w:r>
      <w:r>
        <w:rPr>
          <w:rFonts w:ascii="黑体" w:hAnsi="黑体" w:eastAsia="黑体" w:cs="黑体"/>
          <w:b/>
          <w:bCs/>
          <w:color w:val="auto"/>
          <w:highlight w:val="none"/>
        </w:rPr>
        <w:t>.</w:t>
      </w:r>
      <w:r>
        <w:rPr>
          <w:rFonts w:hint="eastAsia" w:ascii="黑体" w:hAnsi="黑体" w:eastAsia="黑体" w:cs="黑体"/>
          <w:b/>
          <w:bCs/>
          <w:color w:val="auto"/>
          <w:highlight w:val="none"/>
          <w:lang w:val="en-US" w:eastAsia="zh-CN"/>
        </w:rPr>
        <w:t>9</w:t>
      </w:r>
      <w:r>
        <w:rPr>
          <w:rFonts w:hint="eastAsia" w:ascii="Times New Roman" w:hAnsi="Times New Roman"/>
          <w:color w:val="auto"/>
          <w:highlight w:val="none"/>
        </w:rPr>
        <w:t xml:space="preserve"> 小型综合管廊安全标志应符合现行国家标准《安全标志及其使用导则》GB2894的有关规定。</w:t>
      </w:r>
    </w:p>
    <w:p w14:paraId="3DC8A72B">
      <w:pPr>
        <w:rPr>
          <w:rFonts w:ascii="Times New Roman" w:hAnsi="Times New Roman"/>
          <w:color w:val="auto"/>
          <w:highlight w:val="none"/>
        </w:rPr>
      </w:pPr>
    </w:p>
    <w:p w14:paraId="670C4681">
      <w:pPr>
        <w:rPr>
          <w:rFonts w:ascii="Times New Roman" w:hAnsi="Times New Roman"/>
          <w:color w:val="auto"/>
          <w:highlight w:val="none"/>
        </w:rPr>
      </w:pPr>
    </w:p>
    <w:p w14:paraId="5CF99FB3">
      <w:pPr>
        <w:rPr>
          <w:rFonts w:ascii="Times New Roman" w:hAnsi="Times New Roman"/>
          <w:color w:val="auto"/>
          <w:highlight w:val="none"/>
        </w:rPr>
      </w:pPr>
    </w:p>
    <w:p w14:paraId="6F7071E3">
      <w:pPr>
        <w:adjustRightInd/>
        <w:rPr>
          <w:color w:val="auto"/>
          <w:highlight w:val="none"/>
        </w:rPr>
      </w:pPr>
      <w:r>
        <w:rPr>
          <w:color w:val="auto"/>
          <w:highlight w:val="none"/>
        </w:rPr>
        <w:br w:type="page"/>
      </w:r>
    </w:p>
    <w:p w14:paraId="47CE05D4">
      <w:pPr>
        <w:pStyle w:val="2"/>
        <w:spacing w:before="300" w:after="300" w:line="400" w:lineRule="exact"/>
        <w:jc w:val="center"/>
        <w:rPr>
          <w:rFonts w:ascii="黑体" w:hAnsi="黑体"/>
          <w:color w:val="auto"/>
          <w:highlight w:val="none"/>
        </w:rPr>
      </w:pPr>
      <w:bookmarkStart w:id="58" w:name="_Toc19711"/>
      <w:bookmarkStart w:id="59" w:name="_Toc28749"/>
      <w:bookmarkStart w:id="60" w:name="_Toc12501"/>
      <w:r>
        <w:rPr>
          <w:rFonts w:hint="eastAsia" w:ascii="黑体" w:hAnsi="黑体"/>
          <w:color w:val="auto"/>
          <w:highlight w:val="none"/>
        </w:rPr>
        <w:t>4  规划</w:t>
      </w:r>
      <w:bookmarkEnd w:id="58"/>
      <w:bookmarkEnd w:id="59"/>
      <w:bookmarkEnd w:id="60"/>
    </w:p>
    <w:p w14:paraId="3C66B128">
      <w:pPr>
        <w:pStyle w:val="34"/>
        <w:spacing w:before="156" w:beforeLines="50" w:after="156" w:afterLines="50" w:line="400" w:lineRule="exact"/>
        <w:outlineLvl w:val="2"/>
        <w:rPr>
          <w:rFonts w:hint="eastAsia" w:ascii="黑体" w:hAnsi="黑体" w:cs="黑体"/>
          <w:color w:val="auto"/>
          <w:sz w:val="21"/>
          <w:szCs w:val="21"/>
          <w:highlight w:val="none"/>
        </w:rPr>
      </w:pPr>
      <w:bookmarkStart w:id="61" w:name="_Toc3992"/>
      <w:bookmarkStart w:id="62" w:name="_Toc7632"/>
      <w:r>
        <w:rPr>
          <w:rFonts w:hint="eastAsia" w:ascii="黑体" w:hAnsi="黑体" w:cs="黑体"/>
          <w:color w:val="auto"/>
          <w:sz w:val="21"/>
          <w:szCs w:val="21"/>
          <w:highlight w:val="none"/>
        </w:rPr>
        <w:t>4.1 一般规定</w:t>
      </w:r>
      <w:bookmarkEnd w:id="61"/>
      <w:bookmarkEnd w:id="62"/>
    </w:p>
    <w:p w14:paraId="45C2734D">
      <w:pPr>
        <w:rPr>
          <w:rFonts w:ascii="宋体" w:hAnsi="宋体" w:cs="宋体"/>
          <w:color w:val="auto"/>
          <w:highlight w:val="none"/>
        </w:rPr>
      </w:pPr>
      <w:r>
        <w:rPr>
          <w:rFonts w:hint="eastAsia" w:ascii="黑体" w:hAnsi="黑体" w:eastAsia="黑体" w:cs="黑体"/>
          <w:b/>
          <w:bCs/>
          <w:color w:val="auto"/>
          <w:highlight w:val="none"/>
        </w:rPr>
        <w:t>4.</w:t>
      </w:r>
      <w:r>
        <w:rPr>
          <w:rFonts w:hint="eastAsia" w:ascii="黑体" w:hAnsi="黑体" w:eastAsia="黑体" w:cs="黑体"/>
          <w:b/>
          <w:bCs/>
          <w:color w:val="auto"/>
          <w:highlight w:val="none"/>
          <w:lang w:val="en-US" w:eastAsia="zh-CN"/>
        </w:rPr>
        <w:t>1.</w:t>
      </w:r>
      <w:r>
        <w:rPr>
          <w:rFonts w:hint="eastAsia" w:ascii="黑体" w:hAnsi="黑体" w:eastAsia="黑体" w:cs="黑体"/>
          <w:b/>
          <w:bCs/>
          <w:color w:val="auto"/>
          <w:highlight w:val="none"/>
        </w:rPr>
        <w:t>1</w:t>
      </w:r>
      <w:r>
        <w:rPr>
          <w:rFonts w:hint="eastAsia" w:ascii="宋体" w:hAnsi="宋体" w:cs="宋体"/>
          <w:color w:val="auto"/>
          <w:highlight w:val="none"/>
        </w:rPr>
        <w:t xml:space="preserve"> 小型综合管廊工程规划应符合城市总体规划要求，规划年限应与城市总体规划一致，并应预留远景发展空间。</w:t>
      </w:r>
    </w:p>
    <w:p w14:paraId="0648E89F">
      <w:pPr>
        <w:widowControl/>
        <w:jc w:val="left"/>
        <w:rPr>
          <w:rFonts w:hint="eastAsia" w:ascii="宋体" w:hAnsi="宋体" w:cs="宋体"/>
          <w:color w:val="auto"/>
          <w:highlight w:val="none"/>
        </w:rPr>
      </w:pPr>
      <w:r>
        <w:rPr>
          <w:rFonts w:ascii="黑体" w:hAnsi="黑体" w:eastAsia="黑体" w:cs="黑体"/>
          <w:b/>
          <w:bCs/>
          <w:color w:val="auto"/>
          <w:highlight w:val="none"/>
        </w:rPr>
        <w:t>4.</w:t>
      </w:r>
      <w:r>
        <w:rPr>
          <w:rFonts w:hint="eastAsia" w:ascii="黑体" w:hAnsi="黑体" w:eastAsia="黑体" w:cs="黑体"/>
          <w:b/>
          <w:bCs/>
          <w:color w:val="auto"/>
          <w:highlight w:val="none"/>
          <w:lang w:val="en-US" w:eastAsia="zh-CN"/>
        </w:rPr>
        <w:t>1.</w:t>
      </w:r>
      <w:r>
        <w:rPr>
          <w:rFonts w:ascii="黑体" w:hAnsi="黑体" w:eastAsia="黑体" w:cs="黑体"/>
          <w:b/>
          <w:bCs/>
          <w:color w:val="auto"/>
          <w:highlight w:val="none"/>
        </w:rPr>
        <w:t>2</w:t>
      </w:r>
      <w:r>
        <w:rPr>
          <w:rFonts w:ascii="宋体" w:hAnsi="宋体" w:cs="宋体"/>
          <w:color w:val="auto"/>
          <w:highlight w:val="none"/>
        </w:rPr>
        <w:t xml:space="preserve"> 小型综合管廊工程规划应坚持“</w:t>
      </w:r>
      <w:r>
        <w:rPr>
          <w:rFonts w:hint="eastAsia" w:ascii="宋体" w:hAnsi="宋体" w:cs="宋体"/>
          <w:color w:val="auto"/>
          <w:highlight w:val="none"/>
        </w:rPr>
        <w:t>因地制宜、远近结合、统一规划、统筹建设”的原则。</w:t>
      </w:r>
    </w:p>
    <w:p w14:paraId="341F15CB">
      <w:pPr>
        <w:rPr>
          <w:rFonts w:ascii="宋体" w:hAnsi="宋体" w:cs="宋体"/>
          <w:color w:val="auto"/>
          <w:highlight w:val="none"/>
        </w:rPr>
      </w:pPr>
      <w:r>
        <w:rPr>
          <w:rFonts w:hint="eastAsia" w:ascii="黑体" w:hAnsi="黑体" w:eastAsia="黑体" w:cs="黑体"/>
          <w:b/>
          <w:bCs/>
          <w:color w:val="auto"/>
          <w:highlight w:val="none"/>
        </w:rPr>
        <w:t>4.</w:t>
      </w:r>
      <w:r>
        <w:rPr>
          <w:rFonts w:hint="eastAsia" w:ascii="黑体" w:hAnsi="黑体" w:eastAsia="黑体" w:cs="黑体"/>
          <w:b/>
          <w:bCs/>
          <w:color w:val="auto"/>
          <w:highlight w:val="none"/>
          <w:lang w:val="en-US" w:eastAsia="zh-CN"/>
        </w:rPr>
        <w:t>1.</w:t>
      </w:r>
      <w:r>
        <w:rPr>
          <w:rFonts w:hint="eastAsia" w:ascii="黑体" w:hAnsi="黑体" w:eastAsia="黑体" w:cs="黑体"/>
          <w:b/>
          <w:bCs/>
          <w:color w:val="auto"/>
          <w:highlight w:val="none"/>
        </w:rPr>
        <w:t xml:space="preserve">3 </w:t>
      </w:r>
      <w:r>
        <w:rPr>
          <w:rFonts w:hint="eastAsia" w:ascii="宋体" w:hAnsi="宋体" w:cs="宋体"/>
          <w:color w:val="auto"/>
          <w:highlight w:val="none"/>
        </w:rPr>
        <w:t>小型综合管廊工程规划应统筹地上、地下空间布局，协调小型综合管廊与其它地上、地下工程的关系。</w:t>
      </w:r>
    </w:p>
    <w:p w14:paraId="068961F7">
      <w:pPr>
        <w:rPr>
          <w:rFonts w:hint="eastAsia" w:ascii="宋体" w:hAnsi="宋体" w:cs="宋体"/>
          <w:color w:val="auto"/>
          <w:highlight w:val="none"/>
        </w:rPr>
      </w:pPr>
      <w:r>
        <w:rPr>
          <w:rFonts w:hint="eastAsia" w:ascii="黑体" w:hAnsi="黑体" w:eastAsia="黑体" w:cs="黑体"/>
          <w:b/>
          <w:bCs/>
          <w:color w:val="auto"/>
          <w:highlight w:val="none"/>
        </w:rPr>
        <w:t>4.</w:t>
      </w:r>
      <w:r>
        <w:rPr>
          <w:rFonts w:hint="eastAsia" w:ascii="黑体" w:hAnsi="黑体" w:eastAsia="黑体" w:cs="黑体"/>
          <w:b/>
          <w:bCs/>
          <w:color w:val="auto"/>
          <w:highlight w:val="none"/>
          <w:lang w:val="en-US" w:eastAsia="zh-CN"/>
        </w:rPr>
        <w:t>1.</w:t>
      </w:r>
      <w:r>
        <w:rPr>
          <w:rFonts w:hint="eastAsia" w:ascii="黑体" w:hAnsi="黑体" w:eastAsia="黑体" w:cs="黑体"/>
          <w:b/>
          <w:bCs/>
          <w:color w:val="auto"/>
          <w:highlight w:val="none"/>
        </w:rPr>
        <w:t>4</w:t>
      </w:r>
      <w:r>
        <w:rPr>
          <w:rFonts w:ascii="黑体" w:hAnsi="黑体" w:eastAsia="黑体" w:cs="黑体"/>
          <w:b/>
          <w:bCs/>
          <w:color w:val="auto"/>
          <w:highlight w:val="none"/>
        </w:rPr>
        <w:t xml:space="preserve"> </w:t>
      </w:r>
      <w:r>
        <w:rPr>
          <w:rFonts w:hint="eastAsia" w:ascii="宋体" w:hAnsi="宋体" w:cs="宋体"/>
          <w:color w:val="auto"/>
          <w:highlight w:val="none"/>
        </w:rPr>
        <w:t>小型综合管廊的平面布局、断面、位置、建设计划等内容应纳入综合管廊工程规划。</w:t>
      </w:r>
    </w:p>
    <w:p w14:paraId="734FD1F0">
      <w:pPr>
        <w:pStyle w:val="34"/>
        <w:spacing w:before="156" w:beforeLines="50" w:after="156" w:afterLines="50" w:line="400" w:lineRule="exact"/>
        <w:outlineLvl w:val="2"/>
        <w:rPr>
          <w:rFonts w:hint="eastAsia" w:ascii="黑体" w:hAnsi="黑体" w:cs="黑体"/>
          <w:color w:val="auto"/>
          <w:sz w:val="21"/>
          <w:szCs w:val="21"/>
          <w:highlight w:val="none"/>
        </w:rPr>
      </w:pPr>
      <w:bookmarkStart w:id="63" w:name="_Toc6724"/>
      <w:bookmarkStart w:id="64" w:name="_Toc25589"/>
      <w:r>
        <w:rPr>
          <w:rFonts w:hint="eastAsia" w:ascii="黑体" w:hAnsi="黑体" w:cs="黑体"/>
          <w:color w:val="auto"/>
          <w:sz w:val="21"/>
          <w:szCs w:val="21"/>
          <w:highlight w:val="none"/>
        </w:rPr>
        <w:t>4.2 平面布局</w:t>
      </w:r>
      <w:bookmarkEnd w:id="63"/>
      <w:bookmarkEnd w:id="64"/>
    </w:p>
    <w:p w14:paraId="08783E0F">
      <w:pPr>
        <w:rPr>
          <w:rFonts w:hint="eastAsia" w:ascii="宋体" w:hAnsi="宋体" w:cs="宋体"/>
          <w:color w:val="auto"/>
          <w:highlight w:val="none"/>
        </w:rPr>
      </w:pPr>
      <w:r>
        <w:rPr>
          <w:rFonts w:hint="eastAsia" w:ascii="黑体" w:hAnsi="黑体" w:eastAsia="黑体" w:cs="黑体"/>
          <w:b/>
          <w:bCs/>
          <w:color w:val="auto"/>
          <w:highlight w:val="none"/>
        </w:rPr>
        <w:t>4.</w:t>
      </w:r>
      <w:r>
        <w:rPr>
          <w:rFonts w:hint="eastAsia" w:ascii="黑体" w:hAnsi="黑体" w:eastAsia="黑体" w:cs="黑体"/>
          <w:b/>
          <w:bCs/>
          <w:color w:val="auto"/>
          <w:highlight w:val="none"/>
          <w:lang w:val="en-US" w:eastAsia="zh-CN"/>
        </w:rPr>
        <w:t>2.1</w:t>
      </w:r>
      <w:r>
        <w:rPr>
          <w:rFonts w:hint="eastAsia" w:ascii="黑体" w:hAnsi="黑体" w:eastAsia="黑体" w:cs="黑体"/>
          <w:b/>
          <w:bCs/>
          <w:color w:val="auto"/>
          <w:highlight w:val="none"/>
        </w:rPr>
        <w:t xml:space="preserve"> </w:t>
      </w:r>
      <w:r>
        <w:rPr>
          <w:rFonts w:hint="eastAsia" w:ascii="宋体" w:hAnsi="宋体" w:cs="宋体"/>
          <w:color w:val="auto"/>
          <w:highlight w:val="none"/>
        </w:rPr>
        <w:t>小型综合管廊布局应与城市功能分区、建设用地布局和道路</w:t>
      </w:r>
      <w:r>
        <w:rPr>
          <w:rFonts w:ascii="宋体" w:hAnsi="宋体" w:cs="宋体"/>
          <w:color w:val="auto"/>
          <w:highlight w:val="none"/>
        </w:rPr>
        <w:t>交通</w:t>
      </w:r>
      <w:r>
        <w:rPr>
          <w:rFonts w:hint="eastAsia" w:ascii="宋体" w:hAnsi="宋体" w:cs="宋体"/>
          <w:color w:val="auto"/>
          <w:highlight w:val="none"/>
        </w:rPr>
        <w:t>规划、地下空间规划、市政管线专项规划等相适应。</w:t>
      </w:r>
    </w:p>
    <w:p w14:paraId="6C51E954">
      <w:pPr>
        <w:rPr>
          <w:rFonts w:ascii="宋体" w:hAnsi="宋体" w:cs="宋体"/>
          <w:color w:val="auto"/>
          <w:highlight w:val="none"/>
        </w:rPr>
      </w:pPr>
      <w:r>
        <w:rPr>
          <w:rFonts w:hint="eastAsia" w:ascii="黑体" w:hAnsi="黑体" w:eastAsia="黑体" w:cs="黑体"/>
          <w:b/>
          <w:bCs/>
          <w:color w:val="auto"/>
          <w:highlight w:val="none"/>
        </w:rPr>
        <w:t>4.</w:t>
      </w:r>
      <w:r>
        <w:rPr>
          <w:rFonts w:hint="eastAsia" w:ascii="黑体" w:hAnsi="黑体" w:eastAsia="黑体" w:cs="黑体"/>
          <w:b/>
          <w:bCs/>
          <w:color w:val="auto"/>
          <w:highlight w:val="none"/>
          <w:lang w:val="en-US" w:eastAsia="zh-CN"/>
        </w:rPr>
        <w:t>2.2</w:t>
      </w:r>
      <w:r>
        <w:rPr>
          <w:rFonts w:hint="eastAsia" w:ascii="宋体" w:hAnsi="宋体" w:cs="宋体"/>
          <w:color w:val="auto"/>
          <w:highlight w:val="none"/>
        </w:rPr>
        <w:t xml:space="preserve"> 当遇到下列情况之一时，</w:t>
      </w:r>
      <w:r>
        <w:rPr>
          <w:rFonts w:hint="eastAsia" w:ascii="宋体" w:hAnsi="宋体" w:cs="宋体"/>
          <w:color w:val="auto"/>
          <w:highlight w:val="none"/>
          <w:lang w:val="en-US" w:eastAsia="zh-CN"/>
        </w:rPr>
        <w:t>应优先</w:t>
      </w:r>
      <w:r>
        <w:rPr>
          <w:rFonts w:hint="eastAsia" w:ascii="宋体" w:hAnsi="宋体" w:cs="宋体"/>
          <w:color w:val="auto"/>
          <w:highlight w:val="none"/>
        </w:rPr>
        <w:t>采用小型综合管廊：</w:t>
      </w:r>
    </w:p>
    <w:p w14:paraId="6A937800">
      <w:pPr>
        <w:ind w:firstLine="420" w:firstLineChars="200"/>
        <w:rPr>
          <w:color w:val="auto"/>
          <w:highlight w:val="none"/>
        </w:rPr>
      </w:pPr>
      <w:r>
        <w:rPr>
          <w:color w:val="auto"/>
          <w:highlight w:val="none"/>
        </w:rPr>
        <w:t>1</w:t>
      </w:r>
      <w:r>
        <w:rPr>
          <w:rFonts w:hint="eastAsia"/>
          <w:color w:val="auto"/>
          <w:highlight w:val="none"/>
          <w:lang w:val="en-US" w:eastAsia="zh-CN"/>
        </w:rPr>
        <w:t xml:space="preserve"> </w:t>
      </w:r>
      <w:r>
        <w:rPr>
          <w:rFonts w:hint="eastAsia"/>
          <w:color w:val="auto"/>
          <w:highlight w:val="none"/>
        </w:rPr>
        <w:t>位于商务核心区（含配套服务区、外围拓展区等次级区域）、城市更新区、地下空间高强度开发区、旧城及城中村改造区、历史风貌保护区、管线密集敷设区、道路开挖敏感区等特定片区；</w:t>
      </w:r>
    </w:p>
    <w:p w14:paraId="06A17712">
      <w:pPr>
        <w:ind w:firstLine="420" w:firstLineChars="200"/>
        <w:rPr>
          <w:rFonts w:ascii="Times New Roman" w:hAnsi="Times New Roman"/>
          <w:color w:val="auto"/>
          <w:highlight w:val="none"/>
        </w:rPr>
      </w:pPr>
      <w:r>
        <w:rPr>
          <w:rFonts w:hint="eastAsia"/>
          <w:color w:val="auto"/>
          <w:highlight w:val="none"/>
        </w:rPr>
        <w:t>2</w:t>
      </w:r>
      <w:r>
        <w:rPr>
          <w:rFonts w:hint="eastAsia"/>
          <w:color w:val="auto"/>
          <w:highlight w:val="none"/>
          <w:lang w:val="en-US" w:eastAsia="zh-CN"/>
        </w:rPr>
        <w:t xml:space="preserve"> 新建或改建的次干路、支路及</w:t>
      </w:r>
      <w:r>
        <w:rPr>
          <w:rFonts w:hint="eastAsia" w:ascii="Times New Roman" w:hAnsi="Times New Roman"/>
          <w:color w:val="auto"/>
          <w:highlight w:val="none"/>
        </w:rPr>
        <w:t>公共场所的</w:t>
      </w:r>
      <w:r>
        <w:rPr>
          <w:rFonts w:hint="eastAsia" w:ascii="Times New Roman" w:hAnsi="Times New Roman"/>
          <w:color w:val="auto"/>
          <w:highlight w:val="none"/>
          <w:lang w:val="en-US" w:eastAsia="zh-CN"/>
        </w:rPr>
        <w:t>配套</w:t>
      </w:r>
      <w:r>
        <w:rPr>
          <w:rFonts w:hint="eastAsia"/>
          <w:color w:val="auto"/>
          <w:highlight w:val="none"/>
          <w:lang w:val="en-US" w:eastAsia="zh-CN"/>
        </w:rPr>
        <w:t>道路</w:t>
      </w:r>
      <w:r>
        <w:rPr>
          <w:rFonts w:hint="eastAsia" w:ascii="Times New Roman" w:hAnsi="Times New Roman"/>
          <w:color w:val="auto"/>
          <w:highlight w:val="none"/>
        </w:rPr>
        <w:t>；</w:t>
      </w:r>
    </w:p>
    <w:p w14:paraId="677B3A53">
      <w:pPr>
        <w:ind w:firstLine="420" w:firstLineChars="200"/>
        <w:rPr>
          <w:rFonts w:hint="eastAsia" w:ascii="Times New Roman" w:hAnsi="Times New Roman"/>
          <w:color w:val="auto"/>
          <w:highlight w:val="none"/>
          <w:lang w:val="en-US" w:eastAsia="zh-CN"/>
        </w:rPr>
      </w:pPr>
      <w:r>
        <w:rPr>
          <w:rFonts w:hint="eastAsia" w:ascii="Times New Roman" w:hAnsi="Times New Roman"/>
          <w:color w:val="auto"/>
          <w:highlight w:val="none"/>
        </w:rPr>
        <w:t>3</w:t>
      </w:r>
      <w:r>
        <w:rPr>
          <w:rFonts w:hint="eastAsia" w:ascii="Times New Roman" w:hAnsi="Times New Roman"/>
          <w:color w:val="auto"/>
          <w:highlight w:val="none"/>
          <w:lang w:val="en-US" w:eastAsia="zh-CN"/>
        </w:rPr>
        <w:t xml:space="preserve"> 既有道路实施2类及以上管线系统性改造时。</w:t>
      </w:r>
    </w:p>
    <w:p w14:paraId="4D78284A">
      <w:pPr>
        <w:widowControl/>
        <w:jc w:val="left"/>
        <w:rPr>
          <w:rFonts w:hint="default" w:ascii="Times New Roman" w:hAnsi="Times New Roman"/>
          <w:color w:val="auto"/>
          <w:highlight w:val="none"/>
          <w:lang w:val="en-US" w:eastAsia="zh-CN"/>
        </w:rPr>
      </w:pPr>
      <w:r>
        <w:rPr>
          <w:rFonts w:hint="eastAsia" w:ascii="宋体" w:hAnsi="宋体" w:cs="宋体"/>
          <w:color w:val="auto"/>
          <w:highlight w:val="none"/>
          <w:lang w:eastAsia="zh-CN"/>
        </w:rPr>
        <w:t>【</w:t>
      </w:r>
      <w:r>
        <w:rPr>
          <w:rFonts w:hint="eastAsia" w:ascii="宋体" w:hAnsi="宋体" w:cs="宋体"/>
          <w:b/>
          <w:bCs/>
          <w:color w:val="auto"/>
          <w:highlight w:val="none"/>
          <w:lang w:val="en-US" w:eastAsia="zh-CN"/>
        </w:rPr>
        <w:t>条文说明：</w:t>
      </w:r>
      <w:r>
        <w:rPr>
          <w:rFonts w:hint="eastAsia" w:ascii="Times New Roman" w:hAnsi="Times New Roman"/>
          <w:color w:val="auto"/>
          <w:highlight w:val="none"/>
          <w:lang w:val="en-US" w:eastAsia="zh-CN"/>
        </w:rPr>
        <w:t>1、商务核心区的次级区域（如配套服务区、外围拓展区等）因承载商业配套、生活服务等功能，人流密集且地下空间利用需求较高，但其空间尺度较核心区更为局促，宜通过小型综合管廊实现管线集约化敷设。此类区域通常存在以下特征：①从功能复合性，需同时满足商业、办公、居住等混合功能对管线容量和可靠性的差异化需求；②从空间约束性来分析，次级区域道路红线宽度多介于15-25米，管位紧张且管线交叉频繁；③从运维敏感性来分析，毗邻高密度建成区，需减少道路开挖对商业活动和居民生活的影响。道路开挖敏感区指：不宜反复开挖建设区域和路段、或对城市交通和景观影响较大的道路。</w:t>
      </w:r>
    </w:p>
    <w:p w14:paraId="5ED669EA">
      <w:pPr>
        <w:widowControl/>
        <w:ind w:firstLine="420" w:firstLineChars="200"/>
        <w:jc w:val="left"/>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2、次干路、支路及公共场所配套道路（如校园内部道路、医院园区道路、文体场馆联络道等）作为城市“毛细血管”，其小型管廊适用性体现在：道路断面宽度通常为12-24米，与小型管廊标准断面（1.5-2.4米宽）匹配度高；服务医院、学校等场所的管线需满足不间断供电、水质稳定等特殊要求，管廊可提供更高保障等级；低等级道路周边开发的进度参差不齐导致管线增容需求频次高，管廊可降低全生命周期维护成本约40%。</w:t>
      </w:r>
    </w:p>
    <w:p w14:paraId="7787C872">
      <w:pPr>
        <w:widowControl/>
        <w:ind w:firstLine="420" w:firstLineChars="200"/>
        <w:jc w:val="left"/>
        <w:rPr>
          <w:rFonts w:hint="eastAsia" w:ascii="宋体" w:hAnsi="宋体" w:cs="宋体"/>
          <w:color w:val="auto"/>
          <w:highlight w:val="none"/>
          <w:lang w:eastAsia="zh-CN"/>
        </w:rPr>
      </w:pPr>
      <w:r>
        <w:rPr>
          <w:rFonts w:hint="eastAsia" w:ascii="Times New Roman" w:hAnsi="Times New Roman"/>
          <w:color w:val="auto"/>
          <w:highlight w:val="none"/>
          <w:lang w:val="en-US" w:eastAsia="zh-CN"/>
        </w:rPr>
        <w:t>3、既有道路实施管线系统性改造时，优先采用小型管廊的情形包括：①从改造必要性分析，现状供水、排水等2类及以上管线已到服役年限需进行提升改造，以及有1类管线需要提升改造时，同步征求具有其他管线近期具备改造需求的，可纳入同步实施；②从技术可行性分析，既有管位空间紧张，建设小型管廊可避免大规模拆迁，同时采用预制拼装工艺，单段施工周期可控制在72小时内，可降低市政交通、附近居民生活影响程度；③立足长效发展，与城市更新类改造工程协同实施，预留适度弹性冗余，适应未来城市发展迭代更新需求。</w:t>
      </w:r>
      <w:r>
        <w:rPr>
          <w:rFonts w:hint="eastAsia" w:ascii="宋体" w:hAnsi="宋体" w:cs="宋体"/>
          <w:color w:val="auto"/>
          <w:highlight w:val="none"/>
          <w:lang w:eastAsia="zh-CN"/>
        </w:rPr>
        <w:t>】</w:t>
      </w:r>
    </w:p>
    <w:p w14:paraId="7D558578">
      <w:pPr>
        <w:pStyle w:val="34"/>
        <w:spacing w:before="156" w:beforeLines="50" w:after="156" w:afterLines="50" w:line="400" w:lineRule="exact"/>
        <w:outlineLvl w:val="2"/>
        <w:rPr>
          <w:rFonts w:hint="eastAsia" w:ascii="黑体" w:hAnsi="黑体" w:cs="黑体"/>
          <w:color w:val="auto"/>
          <w:sz w:val="21"/>
          <w:szCs w:val="21"/>
          <w:highlight w:val="none"/>
        </w:rPr>
      </w:pPr>
      <w:bookmarkStart w:id="65" w:name="_Toc24275"/>
      <w:bookmarkStart w:id="66" w:name="_Toc15583"/>
      <w:r>
        <w:rPr>
          <w:rFonts w:hint="eastAsia" w:ascii="黑体" w:hAnsi="黑体" w:cs="黑体"/>
          <w:color w:val="auto"/>
          <w:sz w:val="21"/>
          <w:szCs w:val="21"/>
          <w:highlight w:val="none"/>
        </w:rPr>
        <w:t>4.3 断面</w:t>
      </w:r>
      <w:bookmarkEnd w:id="65"/>
      <w:bookmarkEnd w:id="66"/>
    </w:p>
    <w:p w14:paraId="35336BBD">
      <w:pPr>
        <w:rPr>
          <w:rFonts w:hint="eastAsia" w:ascii="宋体" w:hAnsi="宋体" w:cs="宋体"/>
          <w:color w:val="auto"/>
          <w:highlight w:val="none"/>
        </w:rPr>
      </w:pPr>
      <w:r>
        <w:rPr>
          <w:rFonts w:hint="eastAsia" w:ascii="黑体" w:hAnsi="黑体" w:eastAsia="黑体" w:cs="黑体"/>
          <w:b/>
          <w:bCs/>
          <w:color w:val="auto"/>
          <w:highlight w:val="none"/>
        </w:rPr>
        <w:t>4.</w:t>
      </w:r>
      <w:r>
        <w:rPr>
          <w:rFonts w:hint="eastAsia" w:ascii="黑体" w:hAnsi="黑体" w:eastAsia="黑体" w:cs="黑体"/>
          <w:b/>
          <w:bCs/>
          <w:color w:val="auto"/>
          <w:highlight w:val="none"/>
          <w:lang w:val="en-US" w:eastAsia="zh-CN"/>
        </w:rPr>
        <w:t>3.1</w:t>
      </w:r>
      <w:r>
        <w:rPr>
          <w:rFonts w:hint="eastAsia" w:ascii="黑体" w:hAnsi="黑体" w:eastAsia="黑体" w:cs="黑体"/>
          <w:b/>
          <w:bCs/>
          <w:color w:val="auto"/>
          <w:highlight w:val="none"/>
        </w:rPr>
        <w:t xml:space="preserve"> </w:t>
      </w:r>
      <w:r>
        <w:rPr>
          <w:rFonts w:hint="eastAsia" w:ascii="宋体" w:hAnsi="宋体" w:cs="宋体"/>
          <w:color w:val="auto"/>
          <w:highlight w:val="none"/>
        </w:rPr>
        <w:t>小型综合管廊断面形式应根据纳入管线的种类及规模、建设方式、预留空间、用户需求及实施条件等确定，同时应满足管线安装、检修、维护作业所需要的空间要求。</w:t>
      </w:r>
    </w:p>
    <w:p w14:paraId="4BDF2A15">
      <w:pPr>
        <w:rPr>
          <w:rFonts w:hint="eastAsia" w:ascii="宋体" w:hAnsi="宋体" w:cs="宋体"/>
          <w:color w:val="auto"/>
          <w:highlight w:val="none"/>
          <w:lang w:val="en-US" w:eastAsia="zh-CN"/>
        </w:rPr>
      </w:pPr>
      <w:r>
        <w:rPr>
          <w:rFonts w:hint="eastAsia" w:ascii="黑体" w:hAnsi="黑体" w:eastAsia="黑体" w:cs="黑体"/>
          <w:b/>
          <w:bCs/>
          <w:color w:val="auto"/>
          <w:highlight w:val="none"/>
          <w:lang w:val="en-US" w:eastAsia="zh-CN"/>
        </w:rPr>
        <w:t>4.3.2</w:t>
      </w:r>
      <w:r>
        <w:rPr>
          <w:rFonts w:hint="eastAsia" w:ascii="宋体" w:hAnsi="宋体" w:cs="宋体"/>
          <w:color w:val="auto"/>
          <w:highlight w:val="none"/>
          <w:lang w:val="en-US" w:eastAsia="zh-CN"/>
        </w:rPr>
        <w:t xml:space="preserve"> 采用蒸汽介质的热力管道不应纳入小型综合管廊。</w:t>
      </w:r>
    </w:p>
    <w:p w14:paraId="4F7DF216">
      <w:pPr>
        <w:rPr>
          <w:rFonts w:hint="eastAsia" w:ascii="宋体" w:hAnsi="宋体" w:eastAsia="宋体" w:cs="宋体"/>
          <w:b w:val="0"/>
          <w:bCs w:val="0"/>
          <w:color w:val="auto"/>
          <w:highlight w:val="none"/>
          <w:lang w:val="en-US" w:eastAsia="zh-CN"/>
        </w:rPr>
      </w:pPr>
      <w:r>
        <w:rPr>
          <w:rFonts w:hint="eastAsia" w:ascii="黑体" w:hAnsi="黑体" w:eastAsia="黑体" w:cs="黑体"/>
          <w:b/>
          <w:bCs/>
          <w:color w:val="auto"/>
          <w:highlight w:val="none"/>
          <w:lang w:val="en-US" w:eastAsia="zh-CN"/>
        </w:rPr>
        <w:t xml:space="preserve">4.3.3 </w:t>
      </w:r>
      <w:r>
        <w:rPr>
          <w:rFonts w:hint="eastAsia" w:ascii="宋体" w:hAnsi="宋体" w:eastAsia="宋体" w:cs="宋体"/>
          <w:b w:val="0"/>
          <w:bCs w:val="0"/>
          <w:color w:val="auto"/>
          <w:highlight w:val="none"/>
          <w:lang w:val="en-US" w:eastAsia="zh-CN"/>
        </w:rPr>
        <w:t>热力管道不应与220kV及以上电压等级的电力电缆同舱敷设。</w:t>
      </w:r>
    </w:p>
    <w:p w14:paraId="04501576">
      <w:pPr>
        <w:rPr>
          <w:rFonts w:hint="eastAsia" w:ascii="宋体" w:hAnsi="宋体" w:cs="宋体"/>
          <w:b w:val="0"/>
          <w:bCs w:val="0"/>
          <w:color w:val="auto"/>
          <w:highlight w:val="none"/>
          <w:lang w:val="en-US" w:eastAsia="zh-CN"/>
        </w:rPr>
      </w:pPr>
      <w:r>
        <w:rPr>
          <w:rFonts w:hint="eastAsia" w:ascii="黑体" w:hAnsi="黑体" w:eastAsia="黑体" w:cs="黑体"/>
          <w:b/>
          <w:bCs/>
          <w:color w:val="auto"/>
          <w:highlight w:val="none"/>
          <w:lang w:val="en-US" w:eastAsia="zh-CN"/>
        </w:rPr>
        <w:t>4.3.4</w:t>
      </w:r>
      <w:r>
        <w:rPr>
          <w:rFonts w:hint="eastAsia" w:ascii="宋体" w:hAnsi="宋体" w:cs="宋体"/>
          <w:b w:val="0"/>
          <w:bCs w:val="0"/>
          <w:color w:val="auto"/>
          <w:highlight w:val="none"/>
          <w:lang w:val="en-US" w:eastAsia="zh-CN"/>
        </w:rPr>
        <w:t xml:space="preserve"> 110kV及以上电力电缆,不应与通信电缆同侧布置。</w:t>
      </w:r>
    </w:p>
    <w:p w14:paraId="5487EE36">
      <w:pPr>
        <w:rPr>
          <w:rFonts w:hint="eastAsia" w:ascii="宋体" w:hAnsi="宋体" w:cs="宋体"/>
          <w:b w:val="0"/>
          <w:bCs w:val="0"/>
          <w:color w:val="auto"/>
          <w:highlight w:val="none"/>
          <w:lang w:val="en-US" w:eastAsia="zh-CN"/>
        </w:rPr>
      </w:pPr>
      <w:r>
        <w:rPr>
          <w:rFonts w:hint="eastAsia" w:ascii="黑体" w:hAnsi="黑体" w:eastAsia="黑体" w:cs="黑体"/>
          <w:b/>
          <w:bCs/>
          <w:color w:val="auto"/>
          <w:highlight w:val="none"/>
          <w:lang w:val="en-US" w:eastAsia="zh-CN"/>
        </w:rPr>
        <w:t>4.3.5</w:t>
      </w:r>
      <w:r>
        <w:rPr>
          <w:rFonts w:hint="eastAsia" w:ascii="宋体" w:hAnsi="宋体" w:cs="宋体"/>
          <w:b w:val="0"/>
          <w:bCs w:val="0"/>
          <w:color w:val="auto"/>
          <w:highlight w:val="none"/>
          <w:lang w:val="en-US" w:eastAsia="zh-CN"/>
        </w:rPr>
        <w:t xml:space="preserve"> 给水管道与热力管道同侧布置时，给水管道宜布置在热力管道下方。</w:t>
      </w:r>
    </w:p>
    <w:p w14:paraId="74A467F5">
      <w:pPr>
        <w:rPr>
          <w:rFonts w:hint="eastAsia" w:ascii="宋体" w:hAnsi="宋体" w:cs="宋体"/>
          <w:b w:val="0"/>
          <w:bCs w:val="0"/>
          <w:color w:val="auto"/>
          <w:highlight w:val="none"/>
          <w:lang w:val="en-US" w:eastAsia="zh-CN"/>
        </w:rPr>
      </w:pPr>
      <w:r>
        <w:rPr>
          <w:rFonts w:hint="eastAsia" w:ascii="黑体" w:hAnsi="黑体" w:eastAsia="黑体" w:cs="黑体"/>
          <w:b/>
          <w:bCs/>
          <w:color w:val="auto"/>
          <w:highlight w:val="none"/>
          <w:lang w:val="en-US" w:eastAsia="zh-CN"/>
        </w:rPr>
        <w:t>4.3.6</w:t>
      </w:r>
      <w:r>
        <w:rPr>
          <w:rFonts w:hint="eastAsia" w:ascii="宋体" w:hAnsi="宋体" w:cs="宋体"/>
          <w:b w:val="0"/>
          <w:bCs w:val="0"/>
          <w:color w:val="auto"/>
          <w:highlight w:val="none"/>
          <w:lang w:val="en-US" w:eastAsia="zh-CN"/>
        </w:rPr>
        <w:t xml:space="preserve"> 进入综合管廊的排水管道应采用分流制,雨水纳入小型综合管廊应利用结构本体方式。</w:t>
      </w:r>
    </w:p>
    <w:p w14:paraId="353BF7D6">
      <w:pPr>
        <w:rPr>
          <w:rFonts w:hint="eastAsia" w:ascii="宋体" w:hAnsi="宋体" w:cs="宋体"/>
          <w:b w:val="0"/>
          <w:bCs w:val="0"/>
          <w:color w:val="auto"/>
          <w:highlight w:val="none"/>
          <w:lang w:val="en-US" w:eastAsia="zh-CN"/>
        </w:rPr>
      </w:pPr>
      <w:r>
        <w:rPr>
          <w:rFonts w:hint="eastAsia" w:ascii="黑体" w:hAnsi="黑体" w:eastAsia="黑体" w:cs="黑体"/>
          <w:b/>
          <w:bCs/>
          <w:color w:val="auto"/>
          <w:highlight w:val="none"/>
          <w:lang w:val="en-US" w:eastAsia="zh-CN"/>
        </w:rPr>
        <w:t>4.3.7</w:t>
      </w:r>
      <w:r>
        <w:rPr>
          <w:rFonts w:hint="eastAsia" w:ascii="宋体" w:hAnsi="宋体" w:cs="宋体"/>
          <w:b w:val="0"/>
          <w:bCs w:val="0"/>
          <w:color w:val="auto"/>
          <w:highlight w:val="none"/>
          <w:lang w:val="en-US" w:eastAsia="zh-CN"/>
        </w:rPr>
        <w:t xml:space="preserve"> 污水纳入小型综合管廊宜采用压力管道排水方式，宜设置在小型综合管廊的底部。</w:t>
      </w:r>
    </w:p>
    <w:p w14:paraId="76775B93">
      <w:pPr>
        <w:rPr>
          <w:rFonts w:hint="eastAsia" w:ascii="宋体" w:hAnsi="宋体" w:cs="宋体"/>
          <w:color w:val="auto"/>
          <w:highlight w:val="none"/>
        </w:rPr>
      </w:pPr>
      <w:r>
        <w:rPr>
          <w:rFonts w:hint="eastAsia" w:ascii="黑体" w:hAnsi="黑体" w:eastAsia="黑体" w:cs="黑体"/>
          <w:b/>
          <w:bCs/>
          <w:color w:val="auto"/>
          <w:highlight w:val="none"/>
        </w:rPr>
        <w:t>4.3.8</w:t>
      </w:r>
      <w:r>
        <w:rPr>
          <w:rFonts w:hint="eastAsia" w:ascii="宋体" w:hAnsi="宋体" w:cs="宋体"/>
          <w:color w:val="auto"/>
          <w:highlight w:val="none"/>
        </w:rPr>
        <w:t xml:space="preserve"> 重力流污水管道纳入小型综合管廊应符合下列规定：</w:t>
      </w:r>
    </w:p>
    <w:p w14:paraId="7503182E">
      <w:pPr>
        <w:widowControl/>
        <w:ind w:firstLine="420" w:firstLineChars="200"/>
        <w:jc w:val="left"/>
        <w:rPr>
          <w:rFonts w:hint="eastAsia" w:ascii="Times New Roman" w:hAnsi="Times New Roman"/>
          <w:color w:val="auto"/>
          <w:highlight w:val="none"/>
        </w:rPr>
      </w:pPr>
      <w:r>
        <w:rPr>
          <w:rFonts w:hint="eastAsia" w:ascii="Times New Roman" w:hAnsi="Times New Roman"/>
          <w:color w:val="auto"/>
          <w:highlight w:val="none"/>
        </w:rPr>
        <w:t>1 纳入前应组织专项技术论证，</w:t>
      </w:r>
      <w:r>
        <w:rPr>
          <w:rFonts w:hint="eastAsia" w:ascii="Times New Roman" w:hAnsi="Times New Roman"/>
          <w:color w:val="auto"/>
          <w:highlight w:val="none"/>
          <w:lang w:val="en-US" w:eastAsia="zh-CN"/>
        </w:rPr>
        <w:t>满足相关技术要求</w:t>
      </w:r>
      <w:r>
        <w:rPr>
          <w:rFonts w:hint="eastAsia" w:ascii="Times New Roman" w:hAnsi="Times New Roman"/>
          <w:color w:val="auto"/>
          <w:highlight w:val="none"/>
        </w:rPr>
        <w:t>后方可实施；</w:t>
      </w:r>
    </w:p>
    <w:p w14:paraId="6B6531E9">
      <w:pPr>
        <w:widowControl/>
        <w:ind w:firstLine="420" w:firstLineChars="200"/>
        <w:jc w:val="left"/>
        <w:rPr>
          <w:rFonts w:hint="eastAsia" w:ascii="Times New Roman" w:hAnsi="Times New Roman"/>
          <w:color w:val="auto"/>
          <w:highlight w:val="none"/>
        </w:rPr>
      </w:pPr>
      <w:r>
        <w:rPr>
          <w:rFonts w:hint="eastAsia" w:ascii="Times New Roman" w:hAnsi="Times New Roman"/>
          <w:color w:val="auto"/>
          <w:highlight w:val="none"/>
        </w:rPr>
        <w:t>2 当污水管道线路较短，或对管廊竖向布置影响可控时，经论证允许纳入管廊；</w:t>
      </w:r>
    </w:p>
    <w:p w14:paraId="23774887">
      <w:pPr>
        <w:widowControl/>
        <w:ind w:firstLine="420" w:firstLineChars="200"/>
        <w:jc w:val="left"/>
        <w:rPr>
          <w:rFonts w:hint="eastAsia" w:ascii="Times New Roman" w:hAnsi="Times New Roman"/>
          <w:color w:val="auto"/>
          <w:highlight w:val="none"/>
        </w:rPr>
      </w:pPr>
      <w:r>
        <w:rPr>
          <w:rFonts w:hint="eastAsia" w:ascii="Times New Roman" w:hAnsi="Times New Roman"/>
          <w:color w:val="auto"/>
          <w:highlight w:val="none"/>
        </w:rPr>
        <w:t>3 纳入管廊的重力流污水管段，宜优先就近接入外部污水主干管；若受条件限制，可分段排入管廊外既有污水系统，并应确保衔接安全可靠。</w:t>
      </w:r>
    </w:p>
    <w:p w14:paraId="7AA2C219">
      <w:pPr>
        <w:rPr>
          <w:rFonts w:hint="default" w:ascii="宋体" w:hAnsi="宋体" w:cs="宋体"/>
          <w:b w:val="0"/>
          <w:bCs w:val="0"/>
          <w:color w:val="auto"/>
          <w:highlight w:val="none"/>
          <w:lang w:val="en-US" w:eastAsia="zh-CN"/>
        </w:rPr>
      </w:pPr>
      <w:r>
        <w:rPr>
          <w:rFonts w:hint="eastAsia" w:ascii="Times New Roman" w:hAnsi="Times New Roman"/>
          <w:color w:val="auto"/>
          <w:highlight w:val="none"/>
        </w:rPr>
        <w:t>【</w:t>
      </w:r>
      <w:r>
        <w:rPr>
          <w:rFonts w:hint="eastAsia" w:ascii="Times New Roman" w:hAnsi="Times New Roman"/>
          <w:b/>
          <w:bCs/>
          <w:color w:val="auto"/>
          <w:highlight w:val="none"/>
        </w:rPr>
        <w:t>条文说明：</w:t>
      </w:r>
      <w:r>
        <w:rPr>
          <w:rFonts w:hint="eastAsia" w:ascii="宋体" w:hAnsi="宋体" w:cs="宋体"/>
          <w:color w:val="auto"/>
          <w:highlight w:val="none"/>
        </w:rPr>
        <w:t>重力流污水管道对管廊竖向埋深及水力坡度要求较高，纳入前需重点论证其对管廊整体布置的适应性。特殊情况下允许局部纳入时，应通过分段外排方式降低管廊竖向压力，并保障系统运行稳定性</w:t>
      </w:r>
      <w:r>
        <w:rPr>
          <w:rFonts w:hint="eastAsia" w:ascii="Times New Roman" w:hAnsi="Times New Roman" w:eastAsia="宋体" w:cs="Times New Roman"/>
          <w:color w:val="auto"/>
          <w:highlight w:val="none"/>
        </w:rPr>
        <w:t>。</w:t>
      </w:r>
      <w:r>
        <w:rPr>
          <w:rFonts w:hint="eastAsia" w:ascii="Times New Roman" w:hAnsi="Times New Roman"/>
          <w:color w:val="auto"/>
          <w:highlight w:val="none"/>
        </w:rPr>
        <w:t>】</w:t>
      </w:r>
    </w:p>
    <w:p w14:paraId="60DB8AD5">
      <w:pPr>
        <w:pStyle w:val="34"/>
        <w:spacing w:before="156" w:beforeLines="50" w:after="156" w:afterLines="50" w:line="400" w:lineRule="exact"/>
        <w:outlineLvl w:val="2"/>
        <w:rPr>
          <w:rFonts w:hint="eastAsia" w:ascii="黑体" w:hAnsi="黑体" w:cs="黑体"/>
          <w:color w:val="auto"/>
          <w:sz w:val="21"/>
          <w:szCs w:val="21"/>
          <w:highlight w:val="none"/>
        </w:rPr>
      </w:pPr>
      <w:bookmarkStart w:id="67" w:name="_Toc24838"/>
      <w:bookmarkStart w:id="68" w:name="_Toc22611"/>
      <w:r>
        <w:rPr>
          <w:rFonts w:hint="eastAsia" w:ascii="黑体" w:hAnsi="黑体" w:cs="黑体"/>
          <w:color w:val="auto"/>
          <w:sz w:val="21"/>
          <w:szCs w:val="21"/>
          <w:highlight w:val="none"/>
        </w:rPr>
        <w:t>4.4 位置</w:t>
      </w:r>
      <w:bookmarkEnd w:id="67"/>
      <w:bookmarkEnd w:id="68"/>
    </w:p>
    <w:p w14:paraId="10B901D6">
      <w:pPr>
        <w:rPr>
          <w:rFonts w:ascii="宋体" w:hAnsi="宋体" w:cs="宋体"/>
          <w:color w:val="auto"/>
          <w:highlight w:val="none"/>
        </w:rPr>
      </w:pPr>
      <w:r>
        <w:rPr>
          <w:rFonts w:hint="eastAsia" w:ascii="黑体" w:hAnsi="黑体" w:eastAsia="黑体" w:cs="黑体"/>
          <w:b/>
          <w:bCs/>
          <w:color w:val="auto"/>
          <w:highlight w:val="none"/>
        </w:rPr>
        <w:t>4.</w:t>
      </w:r>
      <w:r>
        <w:rPr>
          <w:rFonts w:hint="eastAsia" w:ascii="黑体" w:hAnsi="黑体" w:eastAsia="黑体" w:cs="黑体"/>
          <w:b/>
          <w:bCs/>
          <w:color w:val="auto"/>
          <w:highlight w:val="none"/>
          <w:lang w:val="en-US" w:eastAsia="zh-CN"/>
        </w:rPr>
        <w:t>4.1</w:t>
      </w:r>
      <w:r>
        <w:rPr>
          <w:rFonts w:hint="eastAsia" w:ascii="宋体" w:hAnsi="宋体" w:cs="宋体"/>
          <w:color w:val="auto"/>
          <w:highlight w:val="none"/>
        </w:rPr>
        <w:t xml:space="preserve"> 小型综合管廊的位置应与道路断面结合，宜设置于人行道、非机动车道</w:t>
      </w:r>
      <w:r>
        <w:rPr>
          <w:rFonts w:hint="eastAsia" w:ascii="宋体" w:hAnsi="宋体" w:cs="宋体"/>
          <w:color w:val="auto"/>
          <w:highlight w:val="none"/>
          <w:lang w:val="en-US" w:eastAsia="zh-CN"/>
        </w:rPr>
        <w:t>下</w:t>
      </w:r>
      <w:r>
        <w:rPr>
          <w:rFonts w:hint="eastAsia" w:ascii="宋体" w:hAnsi="宋体" w:cs="宋体"/>
          <w:color w:val="auto"/>
          <w:highlight w:val="none"/>
        </w:rPr>
        <w:t>。</w:t>
      </w:r>
    </w:p>
    <w:p w14:paraId="0850DB33">
      <w:pPr>
        <w:rPr>
          <w:rFonts w:ascii="黑体" w:hAnsi="黑体" w:eastAsia="黑体" w:cs="黑体"/>
          <w:color w:val="auto"/>
          <w:highlight w:val="none"/>
        </w:rPr>
      </w:pPr>
      <w:r>
        <w:rPr>
          <w:rFonts w:hint="eastAsia" w:ascii="黑体" w:hAnsi="黑体" w:eastAsia="黑体" w:cs="黑体"/>
          <w:color w:val="auto"/>
          <w:highlight w:val="none"/>
        </w:rPr>
        <w:t>【</w:t>
      </w:r>
      <w:r>
        <w:rPr>
          <w:rFonts w:hint="eastAsia" w:ascii="黑体" w:hAnsi="黑体" w:eastAsia="黑体" w:cs="黑体"/>
          <w:b/>
          <w:bCs/>
          <w:color w:val="auto"/>
          <w:highlight w:val="none"/>
        </w:rPr>
        <w:t>条文说明：</w:t>
      </w:r>
      <w:r>
        <w:rPr>
          <w:rFonts w:hint="eastAsia" w:ascii="宋体" w:hAnsi="宋体" w:cs="宋体"/>
          <w:color w:val="auto"/>
          <w:highlight w:val="none"/>
          <w:lang w:val="en-US" w:eastAsia="zh-CN"/>
        </w:rPr>
        <w:t>考虑绿化种植覆土需求，为节约建设成本，小型综合管廊宜浅埋敷设，故不建议设置于绿化带下。</w:t>
      </w:r>
      <w:r>
        <w:rPr>
          <w:rFonts w:hint="eastAsia" w:ascii="宋体" w:hAnsi="宋体" w:cs="宋体"/>
          <w:color w:val="auto"/>
          <w:highlight w:val="none"/>
        </w:rPr>
        <w:t>条件受限时可设置于道路绿化带、机动车道下</w:t>
      </w:r>
      <w:r>
        <w:rPr>
          <w:rFonts w:hint="eastAsia" w:ascii="宋体" w:hAnsi="宋体" w:cs="宋体"/>
          <w:color w:val="auto"/>
          <w:highlight w:val="none"/>
          <w:lang w:eastAsia="zh-CN"/>
        </w:rPr>
        <w:t>。</w:t>
      </w:r>
      <w:r>
        <w:rPr>
          <w:rFonts w:hint="eastAsia" w:ascii="黑体" w:hAnsi="黑体" w:eastAsia="黑体" w:cs="黑体"/>
          <w:color w:val="auto"/>
          <w:highlight w:val="none"/>
        </w:rPr>
        <w:t>】</w:t>
      </w:r>
    </w:p>
    <w:p w14:paraId="06BF53DB">
      <w:pPr>
        <w:rPr>
          <w:rFonts w:hint="eastAsia" w:ascii="宋体" w:hAnsi="宋体" w:eastAsia="宋体" w:cs="宋体"/>
          <w:color w:val="000000" w:themeColor="text1"/>
          <w14:textFill>
            <w14:solidFill>
              <w14:schemeClr w14:val="tx1"/>
            </w14:solidFill>
          </w14:textFill>
        </w:rPr>
      </w:pPr>
      <w:r>
        <w:rPr>
          <w:rFonts w:hint="eastAsia" w:ascii="黑体" w:hAnsi="黑体" w:eastAsia="黑体" w:cs="黑体"/>
          <w:b/>
          <w:bCs/>
          <w:color w:val="auto"/>
          <w:highlight w:val="none"/>
        </w:rPr>
        <w:t>4.</w:t>
      </w:r>
      <w:r>
        <w:rPr>
          <w:rFonts w:hint="eastAsia" w:ascii="黑体" w:hAnsi="黑体" w:eastAsia="黑体" w:cs="黑体"/>
          <w:b/>
          <w:bCs/>
          <w:color w:val="auto"/>
          <w:highlight w:val="none"/>
          <w:lang w:val="en-US" w:eastAsia="zh-CN"/>
        </w:rPr>
        <w:t>4.2</w:t>
      </w:r>
      <w:r>
        <w:rPr>
          <w:rFonts w:hint="eastAsia" w:ascii="宋体" w:hAnsi="宋体" w:cs="宋体"/>
          <w:color w:val="auto"/>
          <w:highlight w:val="none"/>
        </w:rPr>
        <w:t xml:space="preserve"> 小型综合管廊</w:t>
      </w:r>
      <w:r>
        <w:rPr>
          <w:rFonts w:hint="eastAsia" w:ascii="宋体" w:hAnsi="宋体" w:cs="宋体"/>
          <w:color w:val="auto"/>
          <w:highlight w:val="none"/>
          <w:lang w:val="en-US" w:eastAsia="zh-CN"/>
        </w:rPr>
        <w:t>宜浅埋敷设，</w:t>
      </w:r>
      <w:r>
        <w:rPr>
          <w:rFonts w:hint="eastAsia" w:ascii="宋体" w:hAnsi="宋体" w:cs="宋体"/>
          <w:color w:val="auto"/>
          <w:highlight w:val="none"/>
        </w:rPr>
        <w:t>覆土深度</w:t>
      </w:r>
      <w:r>
        <w:rPr>
          <w:rFonts w:hint="eastAsia" w:ascii="宋体" w:hAnsi="宋体" w:cs="宋体"/>
          <w:color w:val="auto"/>
          <w:highlight w:val="none"/>
          <w:lang w:val="en-US" w:eastAsia="zh-CN"/>
        </w:rPr>
        <w:t>应根据地下设施竖向规划、行车荷载、</w:t>
      </w:r>
      <w:r>
        <w:rPr>
          <w:rFonts w:hint="eastAsia" w:ascii="宋体" w:hAnsi="宋体" w:eastAsia="宋体" w:cs="宋体"/>
          <w:color w:val="000000" w:themeColor="text1"/>
          <w14:textFill>
            <w14:solidFill>
              <w14:schemeClr w14:val="tx1"/>
            </w14:solidFill>
          </w14:textFill>
        </w:rPr>
        <w:t>交叉管线</w:t>
      </w:r>
      <w:r>
        <w:rPr>
          <w:rFonts w:hint="eastAsia" w:ascii="宋体" w:hAnsi="宋体" w:cs="宋体"/>
          <w:color w:val="auto"/>
          <w:highlight w:val="none"/>
          <w:lang w:val="en-US" w:eastAsia="zh-CN"/>
        </w:rPr>
        <w:t>、道路沿线开口</w:t>
      </w:r>
      <w:r>
        <w:rPr>
          <w:rFonts w:hint="eastAsia" w:ascii="宋体" w:hAnsi="宋体" w:eastAsia="宋体" w:cs="宋体"/>
          <w:color w:val="000000" w:themeColor="text1"/>
          <w14:textFill>
            <w14:solidFill>
              <w14:schemeClr w14:val="tx1"/>
            </w14:solidFill>
          </w14:textFill>
        </w:rPr>
        <w:t>、各类分支口设置需求、施工工法以及工程地质情况等因素综合考虑确定，并应符合下列规定：</w:t>
      </w:r>
    </w:p>
    <w:p w14:paraId="28337427">
      <w:pPr>
        <w:widowControl/>
        <w:ind w:firstLine="420" w:firstLineChars="200"/>
        <w:jc w:val="left"/>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1 应符合技术经济合理性的要求，减小覆土厚度；</w:t>
      </w:r>
    </w:p>
    <w:p w14:paraId="24882FDB">
      <w:pPr>
        <w:widowControl/>
        <w:ind w:firstLine="420" w:firstLineChars="200"/>
        <w:jc w:val="left"/>
        <w:rPr>
          <w:rFonts w:hint="eastAsia" w:ascii="Times New Roman" w:hAnsi="Times New Roman" w:cs="Times New Roman"/>
          <w:color w:val="auto"/>
          <w:highlight w:val="none"/>
        </w:rPr>
      </w:pPr>
      <w:r>
        <w:rPr>
          <w:rFonts w:hint="eastAsia" w:ascii="Times New Roman" w:hAnsi="Times New Roman" w:eastAsia="宋体" w:cs="Times New Roman"/>
          <w:color w:val="auto"/>
          <w:highlight w:val="none"/>
        </w:rPr>
        <w:t>2 减少与重力流管道的交叉</w:t>
      </w:r>
      <w:r>
        <w:rPr>
          <w:rFonts w:hint="eastAsia" w:ascii="Times New Roman" w:hAnsi="Times New Roman" w:cs="Times New Roman"/>
          <w:color w:val="auto"/>
          <w:highlight w:val="none"/>
          <w:lang w:val="en-US" w:eastAsia="zh-CN"/>
        </w:rPr>
        <w:t>。</w:t>
      </w:r>
    </w:p>
    <w:p w14:paraId="1AD86308">
      <w:pPr>
        <w:rPr>
          <w:rFonts w:hint="eastAsia" w:ascii="宋体" w:hAnsi="宋体" w:cs="宋体"/>
          <w:color w:val="auto"/>
          <w:highlight w:val="none"/>
          <w:lang w:eastAsia="zh-CN"/>
        </w:rPr>
      </w:pPr>
      <w:r>
        <w:rPr>
          <w:rFonts w:hint="eastAsia" w:ascii="宋体" w:hAnsi="宋体" w:cs="宋体"/>
          <w:color w:val="auto"/>
          <w:highlight w:val="none"/>
          <w:lang w:eastAsia="zh-CN"/>
        </w:rPr>
        <w:t>【</w:t>
      </w:r>
      <w:r>
        <w:rPr>
          <w:rFonts w:hint="eastAsia" w:ascii="宋体" w:hAnsi="宋体" w:cs="宋体"/>
          <w:b/>
          <w:bCs/>
          <w:color w:val="auto"/>
          <w:highlight w:val="none"/>
          <w:lang w:val="en-US" w:eastAsia="zh-CN"/>
        </w:rPr>
        <w:t>条文说明：</w:t>
      </w:r>
      <w:r>
        <w:rPr>
          <w:rFonts w:hint="eastAsia" w:ascii="宋体" w:hAnsi="宋体" w:cs="宋体"/>
          <w:color w:val="auto"/>
          <w:highlight w:val="none"/>
          <w:lang w:val="en-US" w:eastAsia="zh-CN"/>
        </w:rPr>
        <w:t>为节约建设成本</w:t>
      </w:r>
      <w:r>
        <w:rPr>
          <w:rFonts w:hint="eastAsia" w:ascii="宋体" w:hAnsi="宋体" w:cs="宋体"/>
          <w:color w:val="auto"/>
          <w:highlight w:val="none"/>
        </w:rPr>
        <w:t>，</w:t>
      </w:r>
      <w:r>
        <w:rPr>
          <w:rFonts w:hint="eastAsia" w:ascii="宋体" w:hAnsi="宋体" w:cs="宋体"/>
          <w:color w:val="auto"/>
          <w:highlight w:val="none"/>
          <w:lang w:val="en-US" w:eastAsia="zh-CN"/>
        </w:rPr>
        <w:t>考虑厦门市气候环境、无冻土等情况，小型管廊</w:t>
      </w:r>
      <w:r>
        <w:rPr>
          <w:rFonts w:hint="eastAsia" w:ascii="宋体" w:hAnsi="宋体" w:cs="宋体"/>
          <w:color w:val="auto"/>
          <w:highlight w:val="none"/>
        </w:rPr>
        <w:t>覆土深度宜为0</w:t>
      </w:r>
      <w:r>
        <w:rPr>
          <w:rFonts w:ascii="宋体" w:hAnsi="宋体" w:cs="宋体"/>
          <w:color w:val="auto"/>
          <w:highlight w:val="none"/>
        </w:rPr>
        <w:t>.5</w:t>
      </w:r>
      <w:r>
        <w:rPr>
          <w:rFonts w:hint="eastAsia" w:ascii="宋体" w:hAnsi="宋体" w:cs="宋体"/>
          <w:color w:val="auto"/>
          <w:highlight w:val="none"/>
        </w:rPr>
        <w:t>～</w:t>
      </w:r>
      <w:r>
        <w:rPr>
          <w:rFonts w:ascii="宋体" w:hAnsi="宋体" w:cs="宋体"/>
          <w:color w:val="auto"/>
          <w:highlight w:val="none"/>
        </w:rPr>
        <w:t>1.0m</w:t>
      </w:r>
      <w:r>
        <w:rPr>
          <w:rFonts w:hint="eastAsia" w:ascii="宋体" w:hAnsi="宋体" w:cs="宋体"/>
          <w:color w:val="auto"/>
          <w:highlight w:val="none"/>
        </w:rPr>
        <w:t>。</w:t>
      </w:r>
      <w:r>
        <w:rPr>
          <w:rFonts w:hint="eastAsia" w:ascii="宋体" w:hAnsi="宋体" w:cs="宋体"/>
          <w:color w:val="auto"/>
          <w:highlight w:val="none"/>
          <w:lang w:val="en-US" w:eastAsia="zh-CN"/>
        </w:rPr>
        <w:t>无行车荷载等因素时，可采用无覆土方式。</w:t>
      </w:r>
      <w:r>
        <w:rPr>
          <w:rFonts w:hint="eastAsia" w:ascii="宋体" w:hAnsi="宋体" w:cs="宋体"/>
          <w:color w:val="auto"/>
          <w:highlight w:val="none"/>
          <w:lang w:eastAsia="zh-CN"/>
        </w:rPr>
        <w:t>】</w:t>
      </w:r>
    </w:p>
    <w:p w14:paraId="7AE5AE53">
      <w:pPr>
        <w:rPr>
          <w:rFonts w:hint="default" w:ascii="宋体" w:hAnsi="宋体" w:cs="宋体"/>
          <w:color w:val="auto"/>
          <w:highlight w:val="none"/>
          <w:lang w:val="en-US" w:eastAsia="zh-CN"/>
        </w:rPr>
      </w:pPr>
    </w:p>
    <w:p w14:paraId="5989192D">
      <w:pPr>
        <w:pStyle w:val="2"/>
        <w:spacing w:before="300" w:after="300" w:line="400" w:lineRule="exact"/>
        <w:jc w:val="center"/>
        <w:rPr>
          <w:rFonts w:ascii="黑体" w:hAnsi="黑体"/>
          <w:color w:val="auto"/>
          <w:highlight w:val="none"/>
        </w:rPr>
      </w:pPr>
      <w:r>
        <w:rPr>
          <w:color w:val="auto"/>
          <w:highlight w:val="none"/>
        </w:rPr>
        <w:br w:type="page"/>
      </w:r>
      <w:bookmarkStart w:id="69" w:name="_Toc9135"/>
      <w:bookmarkStart w:id="70" w:name="_Toc12795"/>
      <w:bookmarkStart w:id="71" w:name="_Toc23193"/>
      <w:r>
        <w:rPr>
          <w:rFonts w:hint="eastAsia" w:ascii="黑体" w:hAnsi="黑体"/>
          <w:color w:val="auto"/>
          <w:highlight w:val="none"/>
        </w:rPr>
        <w:t>5 总体设计</w:t>
      </w:r>
      <w:bookmarkEnd w:id="69"/>
      <w:bookmarkEnd w:id="70"/>
      <w:bookmarkEnd w:id="71"/>
    </w:p>
    <w:p w14:paraId="7B97B5A6">
      <w:pPr>
        <w:pStyle w:val="34"/>
        <w:spacing w:before="156" w:beforeLines="50" w:after="156" w:afterLines="50" w:line="400" w:lineRule="exact"/>
        <w:outlineLvl w:val="2"/>
        <w:rPr>
          <w:rFonts w:ascii="黑体" w:hAnsi="黑体" w:cs="黑体"/>
          <w:color w:val="auto"/>
          <w:sz w:val="21"/>
          <w:szCs w:val="21"/>
          <w:highlight w:val="none"/>
        </w:rPr>
      </w:pPr>
      <w:bookmarkStart w:id="72" w:name="_Toc26785"/>
      <w:bookmarkStart w:id="73" w:name="_Toc31380"/>
      <w:bookmarkStart w:id="74" w:name="_Toc5974"/>
      <w:r>
        <w:rPr>
          <w:rFonts w:hint="eastAsia" w:ascii="黑体" w:hAnsi="黑体" w:cs="黑体"/>
          <w:color w:val="auto"/>
          <w:sz w:val="21"/>
          <w:szCs w:val="21"/>
          <w:highlight w:val="none"/>
        </w:rPr>
        <w:t>5.1</w:t>
      </w:r>
      <w:r>
        <w:rPr>
          <w:rFonts w:hint="eastAsia" w:ascii="黑体" w:hAnsi="黑体" w:cs="黑体"/>
          <w:color w:val="auto"/>
          <w:sz w:val="21"/>
          <w:szCs w:val="21"/>
          <w:highlight w:val="none"/>
          <w:lang w:val="en-US" w:eastAsia="zh-CN"/>
        </w:rPr>
        <w:t xml:space="preserve"> </w:t>
      </w:r>
      <w:r>
        <w:rPr>
          <w:rFonts w:hint="eastAsia" w:ascii="黑体" w:hAnsi="黑体" w:cs="黑体"/>
          <w:color w:val="auto"/>
          <w:sz w:val="21"/>
          <w:szCs w:val="21"/>
          <w:highlight w:val="none"/>
        </w:rPr>
        <w:t>一般规定</w:t>
      </w:r>
      <w:bookmarkEnd w:id="72"/>
      <w:bookmarkEnd w:id="73"/>
      <w:bookmarkEnd w:id="74"/>
    </w:p>
    <w:p w14:paraId="0620AD80">
      <w:pPr>
        <w:rPr>
          <w:rFonts w:ascii="Times New Roman" w:hAnsi="Times New Roman"/>
          <w:color w:val="auto"/>
          <w:highlight w:val="none"/>
        </w:rPr>
      </w:pPr>
      <w:r>
        <w:rPr>
          <w:rFonts w:hint="eastAsia" w:ascii="黑体" w:hAnsi="黑体" w:eastAsia="黑体" w:cs="黑体"/>
          <w:b/>
          <w:bCs/>
          <w:color w:val="auto"/>
          <w:highlight w:val="none"/>
        </w:rPr>
        <w:t>5.1.1</w:t>
      </w:r>
      <w:r>
        <w:rPr>
          <w:rFonts w:ascii="黑体" w:hAnsi="黑体" w:eastAsia="黑体" w:cs="黑体"/>
          <w:b/>
          <w:bCs/>
          <w:color w:val="auto"/>
          <w:highlight w:val="none"/>
        </w:rPr>
        <w:t xml:space="preserve"> </w:t>
      </w:r>
      <w:r>
        <w:rPr>
          <w:rFonts w:hint="eastAsia" w:ascii="Times New Roman" w:hAnsi="Times New Roman"/>
          <w:color w:val="auto"/>
          <w:highlight w:val="none"/>
        </w:rPr>
        <w:t>小型综合管廊平面中心线宜与道路、铁路、轨道交通、公路、村道中心线平行。</w:t>
      </w:r>
    </w:p>
    <w:p w14:paraId="2EACB548">
      <w:pPr>
        <w:rPr>
          <w:rFonts w:ascii="Times New Roman" w:hAnsi="Times New Roman"/>
          <w:color w:val="auto"/>
          <w:highlight w:val="none"/>
        </w:rPr>
      </w:pPr>
      <w:r>
        <w:rPr>
          <w:rFonts w:hint="eastAsia" w:ascii="黑体" w:hAnsi="黑体" w:eastAsia="黑体" w:cs="黑体"/>
          <w:b/>
          <w:bCs/>
          <w:color w:val="auto"/>
          <w:highlight w:val="none"/>
        </w:rPr>
        <w:t>5.1.2</w:t>
      </w:r>
      <w:r>
        <w:rPr>
          <w:rFonts w:ascii="黑体" w:hAnsi="黑体" w:eastAsia="黑体" w:cs="黑体"/>
          <w:b/>
          <w:bCs/>
          <w:color w:val="auto"/>
          <w:highlight w:val="none"/>
        </w:rPr>
        <w:t xml:space="preserve"> </w:t>
      </w:r>
      <w:r>
        <w:rPr>
          <w:rFonts w:hint="eastAsia" w:ascii="Times New Roman" w:hAnsi="Times New Roman"/>
          <w:color w:val="auto"/>
          <w:highlight w:val="none"/>
        </w:rPr>
        <w:t>小型综合管廊穿越城市快速路、主干路、铁路、轨道交通、公路时，宜垂直穿越；受条件限制时可斜向穿越，最小交叉角不宜小于60°。</w:t>
      </w:r>
    </w:p>
    <w:p w14:paraId="32B36452">
      <w:pPr>
        <w:rPr>
          <w:rFonts w:ascii="Times New Roman" w:hAnsi="Times New Roman"/>
          <w:color w:val="auto"/>
          <w:highlight w:val="none"/>
        </w:rPr>
      </w:pPr>
      <w:r>
        <w:rPr>
          <w:rFonts w:hint="eastAsia" w:ascii="黑体" w:hAnsi="黑体" w:eastAsia="黑体" w:cs="黑体"/>
          <w:b/>
          <w:bCs/>
          <w:color w:val="auto"/>
          <w:highlight w:val="none"/>
        </w:rPr>
        <w:t>5.1.3</w:t>
      </w:r>
      <w:r>
        <w:rPr>
          <w:rFonts w:ascii="黑体" w:hAnsi="黑体" w:eastAsia="黑体" w:cs="黑体"/>
          <w:b/>
          <w:bCs/>
          <w:color w:val="auto"/>
          <w:highlight w:val="none"/>
        </w:rPr>
        <w:t xml:space="preserve"> </w:t>
      </w:r>
      <w:r>
        <w:rPr>
          <w:rFonts w:hint="eastAsia" w:ascii="Times New Roman" w:hAnsi="Times New Roman"/>
          <w:color w:val="auto"/>
          <w:highlight w:val="none"/>
        </w:rPr>
        <w:t>小型综合管廊的断面形式及尺寸应根据施工方法及容纳的管线种类、数量、分支、现场实施条件等综合确定。</w:t>
      </w:r>
    </w:p>
    <w:p w14:paraId="271C7D79">
      <w:pPr>
        <w:rPr>
          <w:rFonts w:ascii="Times New Roman" w:hAnsi="Times New Roman"/>
          <w:color w:val="auto"/>
          <w:highlight w:val="none"/>
        </w:rPr>
      </w:pPr>
      <w:r>
        <w:rPr>
          <w:rFonts w:hint="eastAsia" w:ascii="黑体" w:hAnsi="黑体" w:eastAsia="黑体" w:cs="黑体"/>
          <w:b/>
          <w:bCs/>
          <w:color w:val="auto"/>
          <w:highlight w:val="none"/>
        </w:rPr>
        <w:t xml:space="preserve">5.1.4 </w:t>
      </w:r>
      <w:r>
        <w:rPr>
          <w:rFonts w:hint="eastAsia" w:ascii="Times New Roman" w:hAnsi="Times New Roman"/>
          <w:color w:val="auto"/>
          <w:highlight w:val="none"/>
        </w:rPr>
        <w:t>小型综合管廊管线分支口应满足预留数量、管线进出、安装敷设作业的要求。相应的分支配套设施应同步设计。</w:t>
      </w:r>
    </w:p>
    <w:p w14:paraId="0B066314">
      <w:pPr>
        <w:rPr>
          <w:rFonts w:ascii="Times New Roman" w:hAnsi="Times New Roman"/>
          <w:color w:val="auto"/>
          <w:highlight w:val="none"/>
        </w:rPr>
      </w:pPr>
      <w:r>
        <w:rPr>
          <w:rFonts w:hint="eastAsia" w:ascii="黑体" w:hAnsi="黑体" w:eastAsia="黑体" w:cs="黑体"/>
          <w:b/>
          <w:bCs/>
          <w:color w:val="auto"/>
          <w:highlight w:val="none"/>
        </w:rPr>
        <w:t xml:space="preserve">5.1.5 </w:t>
      </w:r>
      <w:r>
        <w:rPr>
          <w:rFonts w:hint="eastAsia" w:ascii="Times New Roman" w:hAnsi="Times New Roman"/>
          <w:color w:val="auto"/>
          <w:highlight w:val="none"/>
        </w:rPr>
        <w:t>管道进入小型综合管廊时，应在综合管廊外部设置管道关断阀门。</w:t>
      </w:r>
    </w:p>
    <w:p w14:paraId="0F139AC2">
      <w:pPr>
        <w:rPr>
          <w:rFonts w:ascii="Times New Roman" w:hAnsi="Times New Roman"/>
          <w:color w:val="auto"/>
          <w:highlight w:val="none"/>
        </w:rPr>
      </w:pPr>
      <w:r>
        <w:rPr>
          <w:rFonts w:hint="eastAsia" w:ascii="黑体" w:hAnsi="黑体" w:eastAsia="黑体" w:cs="黑体"/>
          <w:b/>
          <w:bCs/>
          <w:color w:val="auto"/>
          <w:highlight w:val="none"/>
        </w:rPr>
        <w:t>5.1.6</w:t>
      </w:r>
      <w:r>
        <w:rPr>
          <w:rFonts w:ascii="黑体" w:hAnsi="黑体" w:eastAsia="黑体" w:cs="黑体"/>
          <w:b/>
          <w:bCs/>
          <w:color w:val="auto"/>
          <w:highlight w:val="none"/>
        </w:rPr>
        <w:t xml:space="preserve"> </w:t>
      </w:r>
      <w:r>
        <w:rPr>
          <w:rFonts w:hint="eastAsia" w:ascii="Times New Roman" w:hAnsi="Times New Roman"/>
          <w:color w:val="auto"/>
          <w:highlight w:val="none"/>
        </w:rPr>
        <w:t>入廊管道附件、电线缆接头、</w:t>
      </w:r>
      <w:r>
        <w:rPr>
          <w:rFonts w:hint="eastAsia" w:ascii="Times New Roman" w:hAnsi="Times New Roman"/>
          <w:color w:val="auto"/>
          <w:highlight w:val="none"/>
          <w:lang w:val="en-US" w:eastAsia="zh-CN"/>
        </w:rPr>
        <w:t>附属设备</w:t>
      </w:r>
      <w:r>
        <w:rPr>
          <w:rFonts w:hint="eastAsia" w:ascii="Times New Roman" w:hAnsi="Times New Roman"/>
          <w:color w:val="auto"/>
          <w:highlight w:val="none"/>
        </w:rPr>
        <w:t>等宜集中布置于小型综合管廊综合工作井。</w:t>
      </w:r>
    </w:p>
    <w:p w14:paraId="7E24C98F">
      <w:pPr>
        <w:rPr>
          <w:rFonts w:ascii="Times New Roman" w:hAnsi="Times New Roman"/>
          <w:color w:val="auto"/>
          <w:highlight w:val="none"/>
        </w:rPr>
      </w:pPr>
      <w:r>
        <w:rPr>
          <w:rFonts w:hint="eastAsia" w:ascii="黑体" w:hAnsi="黑体" w:eastAsia="黑体" w:cs="黑体"/>
          <w:b/>
          <w:bCs/>
          <w:color w:val="auto"/>
          <w:highlight w:val="none"/>
        </w:rPr>
        <w:t xml:space="preserve">5.1.7 </w:t>
      </w:r>
      <w:r>
        <w:rPr>
          <w:rFonts w:hint="eastAsia" w:ascii="Times New Roman" w:hAnsi="Times New Roman"/>
          <w:color w:val="auto"/>
          <w:highlight w:val="none"/>
        </w:rPr>
        <w:t>管道的三通、弯头等部位应设置支撑或预埋件。</w:t>
      </w:r>
    </w:p>
    <w:p w14:paraId="64555EEB">
      <w:pPr>
        <w:rPr>
          <w:rFonts w:ascii="Times New Roman" w:hAnsi="Times New Roman"/>
          <w:color w:val="auto"/>
          <w:highlight w:val="none"/>
        </w:rPr>
      </w:pPr>
      <w:r>
        <w:rPr>
          <w:rFonts w:hint="eastAsia" w:ascii="黑体" w:hAnsi="黑体" w:eastAsia="黑体" w:cs="黑体"/>
          <w:b/>
          <w:bCs/>
          <w:color w:val="auto"/>
          <w:highlight w:val="none"/>
        </w:rPr>
        <w:t xml:space="preserve">5.1.8 </w:t>
      </w:r>
      <w:r>
        <w:rPr>
          <w:rFonts w:hint="eastAsia" w:ascii="Times New Roman" w:hAnsi="Times New Roman"/>
          <w:color w:val="auto"/>
          <w:highlight w:val="none"/>
        </w:rPr>
        <w:t>小型综合管廊顶板处，应设置供管道及附件安装用的吊钩或拉环。吊钩、拉环相邻间距不宜大于10m。</w:t>
      </w:r>
    </w:p>
    <w:p w14:paraId="3A2753D5">
      <w:pPr>
        <w:rPr>
          <w:rFonts w:ascii="Times New Roman" w:hAnsi="Times New Roman"/>
          <w:color w:val="auto"/>
          <w:highlight w:val="none"/>
        </w:rPr>
      </w:pPr>
      <w:r>
        <w:rPr>
          <w:rFonts w:hint="eastAsia" w:ascii="黑体" w:hAnsi="黑体" w:eastAsia="黑体" w:cs="黑体"/>
          <w:b/>
          <w:bCs/>
          <w:color w:val="auto"/>
          <w:highlight w:val="none"/>
        </w:rPr>
        <w:t>5.1.9</w:t>
      </w:r>
      <w:r>
        <w:rPr>
          <w:rFonts w:ascii="黑体" w:hAnsi="黑体" w:eastAsia="黑体" w:cs="黑体"/>
          <w:b/>
          <w:bCs/>
          <w:color w:val="auto"/>
          <w:highlight w:val="none"/>
        </w:rPr>
        <w:t xml:space="preserve"> </w:t>
      </w:r>
      <w:r>
        <w:rPr>
          <w:rFonts w:hint="eastAsia" w:ascii="Times New Roman" w:hAnsi="Times New Roman"/>
          <w:color w:val="auto"/>
          <w:highlight w:val="none"/>
        </w:rPr>
        <w:t>小型综合管廊宜</w:t>
      </w:r>
      <w:r>
        <w:rPr>
          <w:rFonts w:hint="eastAsia" w:ascii="Times New Roman" w:hAnsi="Times New Roman"/>
          <w:color w:val="auto"/>
          <w:highlight w:val="none"/>
          <w:lang w:val="en-US" w:eastAsia="zh-CN"/>
        </w:rPr>
        <w:t>与</w:t>
      </w:r>
      <w:r>
        <w:rPr>
          <w:rFonts w:hint="eastAsia" w:ascii="Times New Roman" w:hAnsi="Times New Roman"/>
          <w:color w:val="auto"/>
          <w:highlight w:val="none"/>
        </w:rPr>
        <w:t>智慧</w:t>
      </w:r>
      <w:r>
        <w:rPr>
          <w:rFonts w:hint="eastAsia" w:ascii="Times New Roman" w:hAnsi="Times New Roman"/>
          <w:color w:val="auto"/>
          <w:highlight w:val="none"/>
          <w:lang w:eastAsia="zh-CN"/>
        </w:rPr>
        <w:t>城市</w:t>
      </w:r>
      <w:r>
        <w:rPr>
          <w:rFonts w:hint="eastAsia" w:ascii="Times New Roman" w:hAnsi="Times New Roman"/>
          <w:color w:val="auto"/>
          <w:highlight w:val="none"/>
        </w:rPr>
        <w:t>管线建设</w:t>
      </w:r>
      <w:r>
        <w:rPr>
          <w:rFonts w:hint="eastAsia" w:ascii="Times New Roman" w:hAnsi="Times New Roman"/>
          <w:color w:val="auto"/>
          <w:highlight w:val="none"/>
          <w:lang w:val="en-US" w:eastAsia="zh-CN"/>
        </w:rPr>
        <w:t>相结合</w:t>
      </w:r>
      <w:r>
        <w:rPr>
          <w:rFonts w:hint="eastAsia" w:ascii="Times New Roman" w:hAnsi="Times New Roman"/>
          <w:color w:val="auto"/>
          <w:highlight w:val="none"/>
        </w:rPr>
        <w:t>，预留智慧</w:t>
      </w:r>
      <w:r>
        <w:rPr>
          <w:rFonts w:hint="eastAsia" w:ascii="Times New Roman" w:hAnsi="Times New Roman"/>
          <w:color w:val="auto"/>
          <w:highlight w:val="none"/>
          <w:lang w:eastAsia="zh-CN"/>
        </w:rPr>
        <w:t>城市</w:t>
      </w:r>
      <w:r>
        <w:rPr>
          <w:rFonts w:hint="eastAsia" w:ascii="Times New Roman" w:hAnsi="Times New Roman"/>
          <w:color w:val="auto"/>
          <w:highlight w:val="none"/>
        </w:rPr>
        <w:t>线缆敷设空间。</w:t>
      </w:r>
    </w:p>
    <w:p w14:paraId="11C7F2E4">
      <w:pPr>
        <w:rPr>
          <w:rFonts w:ascii="Times New Roman" w:hAnsi="Times New Roman"/>
          <w:color w:val="auto"/>
          <w:highlight w:val="none"/>
        </w:rPr>
      </w:pPr>
      <w:r>
        <w:rPr>
          <w:rFonts w:hint="eastAsia" w:ascii="Times New Roman" w:hAnsi="Times New Roman"/>
          <w:color w:val="auto"/>
          <w:highlight w:val="none"/>
          <w:lang w:eastAsia="zh-CN"/>
        </w:rPr>
        <w:t>【</w:t>
      </w:r>
      <w:r>
        <w:rPr>
          <w:rFonts w:hint="eastAsia" w:ascii="Times New Roman" w:hAnsi="Times New Roman"/>
          <w:b/>
          <w:bCs/>
          <w:color w:val="auto"/>
          <w:highlight w:val="none"/>
        </w:rPr>
        <w:t>条文说明：</w:t>
      </w:r>
      <w:r>
        <w:rPr>
          <w:rFonts w:hint="eastAsia" w:ascii="Times New Roman" w:hAnsi="Times New Roman"/>
          <w:color w:val="auto"/>
          <w:highlight w:val="none"/>
        </w:rPr>
        <w:t>结合智慧</w:t>
      </w:r>
      <w:r>
        <w:rPr>
          <w:rFonts w:hint="eastAsia" w:ascii="Times New Roman" w:hAnsi="Times New Roman"/>
          <w:color w:val="auto"/>
          <w:highlight w:val="none"/>
          <w:lang w:eastAsia="zh-CN"/>
        </w:rPr>
        <w:t>城市</w:t>
      </w:r>
      <w:r>
        <w:rPr>
          <w:rFonts w:hint="eastAsia" w:ascii="Times New Roman" w:hAnsi="Times New Roman"/>
          <w:color w:val="auto"/>
          <w:highlight w:val="none"/>
        </w:rPr>
        <w:t>建设需求，在道路交叉口及沿线做好小型综合管廊引出预留，充分利用小型综合管廊资源，</w:t>
      </w:r>
      <w:r>
        <w:rPr>
          <w:rFonts w:hint="eastAsia" w:ascii="Times New Roman" w:hAnsi="Times New Roman"/>
          <w:color w:val="auto"/>
          <w:highlight w:val="none"/>
          <w:lang w:eastAsia="zh-CN"/>
        </w:rPr>
        <w:t>如</w:t>
      </w:r>
      <w:r>
        <w:rPr>
          <w:rFonts w:hint="eastAsia" w:ascii="Times New Roman" w:hAnsi="Times New Roman"/>
          <w:color w:val="auto"/>
          <w:highlight w:val="none"/>
        </w:rPr>
        <w:t>交通主干线缆、智慧多功能杆系统的配电主干电缆及主光缆</w:t>
      </w:r>
      <w:r>
        <w:rPr>
          <w:rFonts w:hint="eastAsia" w:ascii="Times New Roman" w:hAnsi="Times New Roman"/>
          <w:color w:val="auto"/>
          <w:highlight w:val="none"/>
          <w:lang w:eastAsia="zh-CN"/>
        </w:rPr>
        <w:t>等</w:t>
      </w:r>
      <w:r>
        <w:rPr>
          <w:rFonts w:hint="eastAsia" w:ascii="Times New Roman" w:hAnsi="Times New Roman"/>
          <w:color w:val="auto"/>
          <w:highlight w:val="none"/>
        </w:rPr>
        <w:t>可纳入，便于地上地下统筹管理。</w:t>
      </w:r>
      <w:r>
        <w:rPr>
          <w:rFonts w:hint="eastAsia" w:ascii="Times New Roman" w:hAnsi="Times New Roman"/>
          <w:color w:val="auto"/>
          <w:highlight w:val="none"/>
          <w:lang w:eastAsia="zh-CN"/>
        </w:rPr>
        <w:t>】</w:t>
      </w:r>
    </w:p>
    <w:p w14:paraId="11752D1D">
      <w:pPr>
        <w:pStyle w:val="34"/>
        <w:spacing w:before="156" w:beforeLines="50" w:after="156" w:afterLines="50" w:line="400" w:lineRule="exact"/>
        <w:outlineLvl w:val="2"/>
        <w:rPr>
          <w:rFonts w:ascii="黑体" w:hAnsi="黑体" w:cs="黑体"/>
          <w:color w:val="auto"/>
          <w:sz w:val="21"/>
          <w:szCs w:val="21"/>
          <w:highlight w:val="none"/>
        </w:rPr>
      </w:pPr>
      <w:bookmarkStart w:id="75" w:name="_Toc30767"/>
      <w:bookmarkStart w:id="76" w:name="_Toc10865"/>
      <w:bookmarkStart w:id="77" w:name="_Toc30608"/>
      <w:r>
        <w:rPr>
          <w:rFonts w:hint="eastAsia" w:ascii="黑体" w:hAnsi="黑体" w:cs="黑体"/>
          <w:color w:val="auto"/>
          <w:sz w:val="21"/>
          <w:szCs w:val="21"/>
          <w:highlight w:val="none"/>
        </w:rPr>
        <w:t>5.2</w:t>
      </w:r>
      <w:r>
        <w:rPr>
          <w:rFonts w:hint="eastAsia" w:ascii="黑体" w:hAnsi="黑体" w:cs="黑体"/>
          <w:color w:val="auto"/>
          <w:sz w:val="21"/>
          <w:szCs w:val="21"/>
          <w:highlight w:val="none"/>
          <w:lang w:val="en-US" w:eastAsia="zh-CN"/>
        </w:rPr>
        <w:t xml:space="preserve"> </w:t>
      </w:r>
      <w:r>
        <w:rPr>
          <w:rFonts w:hint="eastAsia" w:ascii="黑体" w:hAnsi="黑体" w:cs="黑体"/>
          <w:color w:val="auto"/>
          <w:sz w:val="21"/>
          <w:szCs w:val="21"/>
          <w:highlight w:val="none"/>
        </w:rPr>
        <w:t>空间设计</w:t>
      </w:r>
      <w:bookmarkEnd w:id="75"/>
      <w:bookmarkEnd w:id="76"/>
      <w:bookmarkEnd w:id="77"/>
    </w:p>
    <w:p w14:paraId="2DAEF428">
      <w:pPr>
        <w:rPr>
          <w:rFonts w:ascii="Times New Roman" w:hAnsi="Times New Roman"/>
          <w:color w:val="auto"/>
          <w:highlight w:val="none"/>
        </w:rPr>
      </w:pPr>
      <w:r>
        <w:rPr>
          <w:rFonts w:hint="eastAsia" w:ascii="黑体" w:hAnsi="黑体" w:eastAsia="黑体" w:cs="黑体"/>
          <w:b/>
          <w:bCs/>
          <w:color w:val="auto"/>
          <w:highlight w:val="none"/>
        </w:rPr>
        <w:t>5.2.</w:t>
      </w:r>
      <w:r>
        <w:rPr>
          <w:rFonts w:hint="eastAsia" w:ascii="黑体" w:hAnsi="黑体" w:eastAsia="黑体" w:cs="黑体"/>
          <w:b/>
          <w:bCs/>
          <w:color w:val="auto"/>
          <w:highlight w:val="none"/>
          <w:lang w:val="en-US" w:eastAsia="zh-CN"/>
        </w:rPr>
        <w:t>1</w:t>
      </w:r>
      <w:r>
        <w:rPr>
          <w:rFonts w:ascii="黑体" w:hAnsi="黑体" w:eastAsia="黑体" w:cs="黑体"/>
          <w:b/>
          <w:bCs/>
          <w:color w:val="auto"/>
          <w:highlight w:val="none"/>
        </w:rPr>
        <w:t xml:space="preserve"> </w:t>
      </w:r>
      <w:r>
        <w:rPr>
          <w:rFonts w:hint="eastAsia" w:ascii="Times New Roman" w:hAnsi="Times New Roman"/>
          <w:color w:val="auto"/>
          <w:highlight w:val="none"/>
        </w:rPr>
        <w:t>小型综合管廊与相邻地下管线及地下构筑物的最小净距应根据地质条件和相邻构筑物性质确定，不宜小于表5.2.</w:t>
      </w:r>
      <w:r>
        <w:rPr>
          <w:rFonts w:hint="eastAsia" w:ascii="Times New Roman" w:hAnsi="Times New Roman"/>
          <w:color w:val="auto"/>
          <w:highlight w:val="none"/>
          <w:lang w:val="en-US" w:eastAsia="zh-CN"/>
        </w:rPr>
        <w:t>1</w:t>
      </w:r>
      <w:r>
        <w:rPr>
          <w:rFonts w:hint="eastAsia" w:ascii="Times New Roman" w:hAnsi="Times New Roman"/>
          <w:color w:val="auto"/>
          <w:highlight w:val="none"/>
        </w:rPr>
        <w:t>的规定。当受道路宽度、断面以及现状工程管线等因素限制难以满足要求时，应根据实际情况采取安全措施后减少其最小净距。</w:t>
      </w:r>
    </w:p>
    <w:p w14:paraId="2BD977BA">
      <w:pPr>
        <w:rPr>
          <w:rFonts w:hint="eastAsia" w:ascii="Times New Roman" w:hAnsi="Times New Roman"/>
          <w:color w:val="auto"/>
          <w:highlight w:val="none"/>
        </w:rPr>
      </w:pPr>
      <w:r>
        <w:rPr>
          <w:rFonts w:hint="eastAsia" w:ascii="Times New Roman" w:hAnsi="Times New Roman"/>
          <w:color w:val="auto"/>
          <w:highlight w:val="none"/>
        </w:rPr>
        <w:t>【</w:t>
      </w:r>
      <w:r>
        <w:rPr>
          <w:rFonts w:hint="eastAsia" w:ascii="Times New Roman" w:hAnsi="Times New Roman"/>
          <w:b/>
          <w:bCs/>
          <w:color w:val="auto"/>
          <w:highlight w:val="none"/>
        </w:rPr>
        <w:t>条文说明</w:t>
      </w:r>
      <w:r>
        <w:rPr>
          <w:rFonts w:hint="eastAsia" w:ascii="Times New Roman" w:hAnsi="Times New Roman"/>
          <w:color w:val="auto"/>
          <w:highlight w:val="none"/>
        </w:rPr>
        <w:t>：由于小型综合管廊有可能布置于城中村、老旧小区等城市更新区的道路下，该类型道路一般路幅宽度狭窄、现状管线拥挤且不规则，参考《城市工程管线综合规划规范》GB 50289-2016，4.1.9、4.1.14条相关规定，当受道路宽度、断面以及现状工程管线等因素限制难以满足要求时，小型综合管廊与相邻构筑物或者地下管线的净距，可根据实际情况采取安全措施后减少其最小净距。】</w:t>
      </w:r>
    </w:p>
    <w:p w14:paraId="62E20457">
      <w:pPr>
        <w:rPr>
          <w:rFonts w:hint="eastAsia" w:ascii="Times New Roman" w:hAnsi="Times New Roman"/>
          <w:color w:val="auto"/>
          <w:highlight w:val="none"/>
        </w:rPr>
      </w:pPr>
    </w:p>
    <w:p w14:paraId="01956E91">
      <w:pPr>
        <w:rPr>
          <w:rFonts w:hint="eastAsia" w:ascii="Times New Roman" w:hAnsi="Times New Roman"/>
          <w:color w:val="auto"/>
          <w:highlight w:val="none"/>
        </w:rPr>
      </w:pPr>
    </w:p>
    <w:p w14:paraId="20E28619">
      <w:pPr>
        <w:rPr>
          <w:rFonts w:hint="eastAsia" w:ascii="Times New Roman" w:hAnsi="Times New Roman"/>
          <w:color w:val="auto"/>
          <w:highlight w:val="none"/>
        </w:rPr>
      </w:pPr>
    </w:p>
    <w:p w14:paraId="50D2E233">
      <w:pPr>
        <w:jc w:val="center"/>
        <w:rPr>
          <w:color w:val="auto"/>
          <w:highlight w:val="none"/>
        </w:rPr>
      </w:pPr>
      <w:r>
        <w:rPr>
          <w:rFonts w:hint="eastAsia"/>
          <w:color w:val="auto"/>
          <w:highlight w:val="none"/>
        </w:rPr>
        <w:t>表5</w:t>
      </w:r>
      <w:r>
        <w:rPr>
          <w:color w:val="auto"/>
          <w:highlight w:val="none"/>
        </w:rPr>
        <w:t>.2.</w:t>
      </w:r>
      <w:r>
        <w:rPr>
          <w:rFonts w:hint="eastAsia"/>
          <w:color w:val="auto"/>
          <w:highlight w:val="none"/>
          <w:lang w:val="en-US" w:eastAsia="zh-CN"/>
        </w:rPr>
        <w:t>1</w:t>
      </w:r>
      <w:r>
        <w:rPr>
          <w:rFonts w:hint="eastAsia"/>
          <w:color w:val="auto"/>
          <w:highlight w:val="none"/>
        </w:rPr>
        <w:t>小型综合管廊与相邻地下构筑物的最小净距</w:t>
      </w:r>
    </w:p>
    <w:tbl>
      <w:tblPr>
        <w:tblStyle w:val="12"/>
        <w:tblW w:w="462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96"/>
        <w:gridCol w:w="1797"/>
        <w:gridCol w:w="2558"/>
      </w:tblGrid>
      <w:tr w14:paraId="2B71D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9" w:hRule="atLeast"/>
          <w:jc w:val="center"/>
        </w:trPr>
        <w:tc>
          <w:tcPr>
            <w:tcW w:w="2540" w:type="pct"/>
            <w:tcBorders>
              <w:tl2br w:val="single" w:color="auto" w:sz="4" w:space="0"/>
            </w:tcBorders>
          </w:tcPr>
          <w:p w14:paraId="453CB13E">
            <w:pPr>
              <w:ind w:right="420"/>
              <w:jc w:val="center"/>
              <w:rPr>
                <w:rFonts w:ascii="Times New Roman" w:hAnsi="Times New Roman" w:eastAsiaTheme="minorEastAsia"/>
                <w:color w:val="auto"/>
                <w:highlight w:val="none"/>
              </w:rPr>
            </w:pPr>
            <w:r>
              <w:rPr>
                <w:rFonts w:hint="eastAsia" w:ascii="Times New Roman" w:hAnsi="Times New Roman" w:eastAsiaTheme="minorEastAsia"/>
                <w:color w:val="auto"/>
                <w:highlight w:val="none"/>
              </w:rPr>
              <w:t xml:space="preserve">          施工方法</w:t>
            </w:r>
          </w:p>
          <w:p w14:paraId="446874E2">
            <w:pPr>
              <w:ind w:right="900" w:firstLine="315" w:firstLineChars="150"/>
              <w:rPr>
                <w:rFonts w:ascii="Times New Roman" w:hAnsi="Times New Roman" w:eastAsiaTheme="minorEastAsia"/>
                <w:color w:val="auto"/>
                <w:highlight w:val="none"/>
              </w:rPr>
            </w:pPr>
            <w:r>
              <w:rPr>
                <w:rFonts w:ascii="Times New Roman" w:hAnsi="Times New Roman" w:eastAsiaTheme="minorEastAsia"/>
                <w:color w:val="auto"/>
                <w:highlight w:val="none"/>
              </w:rPr>
              <w:t>相邻情况</w:t>
            </w:r>
          </w:p>
        </w:tc>
        <w:tc>
          <w:tcPr>
            <w:tcW w:w="1015" w:type="pct"/>
            <w:vAlign w:val="center"/>
          </w:tcPr>
          <w:p w14:paraId="7658E860">
            <w:pPr>
              <w:jc w:val="center"/>
              <w:rPr>
                <w:rFonts w:ascii="Times New Roman" w:hAnsi="Times New Roman" w:eastAsiaTheme="minorEastAsia"/>
                <w:color w:val="auto"/>
                <w:highlight w:val="none"/>
              </w:rPr>
            </w:pPr>
            <w:r>
              <w:rPr>
                <w:rFonts w:hint="eastAsia" w:ascii="Times New Roman" w:hAnsi="Times New Roman" w:eastAsiaTheme="minorEastAsia"/>
                <w:color w:val="auto"/>
                <w:highlight w:val="none"/>
              </w:rPr>
              <w:t>明挖施工</w:t>
            </w:r>
          </w:p>
        </w:tc>
        <w:tc>
          <w:tcPr>
            <w:tcW w:w="1445" w:type="pct"/>
            <w:vAlign w:val="center"/>
          </w:tcPr>
          <w:p w14:paraId="4BD7A8C1">
            <w:pPr>
              <w:jc w:val="center"/>
              <w:rPr>
                <w:rFonts w:ascii="Times New Roman" w:hAnsi="Times New Roman" w:eastAsiaTheme="minorEastAsia"/>
                <w:color w:val="auto"/>
                <w:highlight w:val="none"/>
              </w:rPr>
            </w:pPr>
            <w:r>
              <w:rPr>
                <w:rFonts w:hint="eastAsia" w:ascii="Times New Roman" w:hAnsi="Times New Roman" w:eastAsiaTheme="minorEastAsia"/>
                <w:color w:val="auto"/>
                <w:highlight w:val="none"/>
              </w:rPr>
              <w:t>顶管、盾构施工</w:t>
            </w:r>
          </w:p>
        </w:tc>
      </w:tr>
      <w:tr w14:paraId="0CDDE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40" w:type="pct"/>
          </w:tcPr>
          <w:p w14:paraId="48DCD0F7">
            <w:pPr>
              <w:jc w:val="center"/>
              <w:rPr>
                <w:rFonts w:ascii="Times New Roman" w:hAnsi="Times New Roman" w:eastAsiaTheme="minorEastAsia"/>
                <w:color w:val="auto"/>
                <w:highlight w:val="none"/>
              </w:rPr>
            </w:pPr>
            <w:r>
              <w:rPr>
                <w:rFonts w:ascii="Times New Roman" w:hAnsi="Times New Roman" w:eastAsiaTheme="minorEastAsia"/>
                <w:color w:val="auto"/>
                <w:highlight w:val="none"/>
              </w:rPr>
              <w:t>小型综合管廊与地下</w:t>
            </w:r>
            <w:r>
              <w:rPr>
                <w:rFonts w:hint="eastAsia" w:ascii="Times New Roman" w:hAnsi="Times New Roman" w:eastAsiaTheme="minorEastAsia"/>
                <w:color w:val="auto"/>
                <w:highlight w:val="none"/>
              </w:rPr>
              <w:t>构筑物</w:t>
            </w:r>
            <w:r>
              <w:rPr>
                <w:rFonts w:ascii="Times New Roman" w:hAnsi="Times New Roman" w:eastAsiaTheme="minorEastAsia"/>
                <w:color w:val="auto"/>
                <w:highlight w:val="none"/>
              </w:rPr>
              <w:t>水平净距</w:t>
            </w:r>
            <w:r>
              <w:rPr>
                <w:rFonts w:hint="eastAsia" w:ascii="Times New Roman" w:hAnsi="Times New Roman" w:eastAsiaTheme="minorEastAsia"/>
                <w:color w:val="auto"/>
                <w:highlight w:val="none"/>
              </w:rPr>
              <w:t>（m）</w:t>
            </w:r>
          </w:p>
        </w:tc>
        <w:tc>
          <w:tcPr>
            <w:tcW w:w="1015" w:type="pct"/>
            <w:vAlign w:val="center"/>
          </w:tcPr>
          <w:p w14:paraId="5A497CB4">
            <w:pPr>
              <w:jc w:val="center"/>
              <w:rPr>
                <w:rFonts w:ascii="Times New Roman" w:hAnsi="Times New Roman" w:eastAsiaTheme="minorEastAsia"/>
                <w:color w:val="auto"/>
                <w:highlight w:val="none"/>
              </w:rPr>
            </w:pPr>
            <w:r>
              <w:rPr>
                <w:rFonts w:ascii="Times New Roman" w:hAnsi="Times New Roman" w:eastAsiaTheme="minorEastAsia"/>
                <w:color w:val="auto"/>
                <w:highlight w:val="none"/>
              </w:rPr>
              <w:t>1.0</w:t>
            </w:r>
            <w:r>
              <w:rPr>
                <w:rFonts w:hint="eastAsia" w:ascii="Times New Roman" w:hAnsi="Times New Roman" w:eastAsiaTheme="minorEastAsia"/>
                <w:color w:val="auto"/>
                <w:highlight w:val="none"/>
              </w:rPr>
              <w:t>m</w:t>
            </w:r>
          </w:p>
        </w:tc>
        <w:tc>
          <w:tcPr>
            <w:tcW w:w="1445" w:type="pct"/>
            <w:vAlign w:val="center"/>
          </w:tcPr>
          <w:p w14:paraId="5041F196">
            <w:pPr>
              <w:jc w:val="center"/>
              <w:rPr>
                <w:rFonts w:ascii="Times New Roman" w:hAnsi="Times New Roman" w:eastAsiaTheme="minorEastAsia"/>
                <w:color w:val="auto"/>
                <w:highlight w:val="none"/>
              </w:rPr>
            </w:pPr>
            <w:r>
              <w:rPr>
                <w:rFonts w:hint="eastAsia" w:ascii="Times New Roman" w:hAnsi="Times New Roman" w:eastAsiaTheme="minorEastAsia"/>
                <w:color w:val="auto"/>
                <w:highlight w:val="none"/>
              </w:rPr>
              <w:t>小型综合管廊外径</w:t>
            </w:r>
          </w:p>
        </w:tc>
      </w:tr>
      <w:tr w14:paraId="093EF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40" w:type="pct"/>
          </w:tcPr>
          <w:p w14:paraId="38C3B869">
            <w:pPr>
              <w:jc w:val="center"/>
              <w:rPr>
                <w:rFonts w:ascii="Times New Roman" w:hAnsi="Times New Roman" w:eastAsiaTheme="minorEastAsia"/>
                <w:color w:val="auto"/>
                <w:highlight w:val="none"/>
              </w:rPr>
            </w:pPr>
            <w:r>
              <w:rPr>
                <w:rFonts w:ascii="Times New Roman" w:hAnsi="Times New Roman" w:eastAsiaTheme="minorEastAsia"/>
                <w:color w:val="auto"/>
                <w:highlight w:val="none"/>
              </w:rPr>
              <w:t>小型综合管廊与地下</w:t>
            </w:r>
            <w:r>
              <w:rPr>
                <w:rFonts w:hint="eastAsia" w:ascii="Times New Roman" w:hAnsi="Times New Roman" w:eastAsiaTheme="minorEastAsia"/>
                <w:color w:val="auto"/>
                <w:highlight w:val="none"/>
              </w:rPr>
              <w:t>管线</w:t>
            </w:r>
            <w:r>
              <w:rPr>
                <w:rFonts w:ascii="Times New Roman" w:hAnsi="Times New Roman" w:eastAsiaTheme="minorEastAsia"/>
                <w:color w:val="auto"/>
                <w:highlight w:val="none"/>
              </w:rPr>
              <w:t>水平净距</w:t>
            </w:r>
            <w:r>
              <w:rPr>
                <w:rFonts w:hint="eastAsia" w:ascii="Times New Roman" w:hAnsi="Times New Roman" w:eastAsiaTheme="minorEastAsia"/>
                <w:color w:val="auto"/>
                <w:highlight w:val="none"/>
              </w:rPr>
              <w:t>（m）</w:t>
            </w:r>
          </w:p>
        </w:tc>
        <w:tc>
          <w:tcPr>
            <w:tcW w:w="1015" w:type="pct"/>
            <w:vAlign w:val="center"/>
          </w:tcPr>
          <w:p w14:paraId="4786716E">
            <w:pPr>
              <w:jc w:val="center"/>
              <w:rPr>
                <w:rFonts w:ascii="Times New Roman" w:hAnsi="Times New Roman" w:eastAsiaTheme="minorEastAsia"/>
                <w:color w:val="auto"/>
                <w:highlight w:val="none"/>
              </w:rPr>
            </w:pPr>
            <w:r>
              <w:rPr>
                <w:rFonts w:ascii="Times New Roman" w:hAnsi="Times New Roman" w:eastAsiaTheme="minorEastAsia"/>
                <w:color w:val="auto"/>
                <w:highlight w:val="none"/>
              </w:rPr>
              <w:t>1.0</w:t>
            </w:r>
            <w:r>
              <w:rPr>
                <w:rFonts w:hint="eastAsia" w:ascii="Times New Roman" w:hAnsi="Times New Roman" w:eastAsiaTheme="minorEastAsia"/>
                <w:color w:val="auto"/>
                <w:highlight w:val="none"/>
              </w:rPr>
              <w:t>m</w:t>
            </w:r>
          </w:p>
        </w:tc>
        <w:tc>
          <w:tcPr>
            <w:tcW w:w="1445" w:type="pct"/>
            <w:vAlign w:val="center"/>
          </w:tcPr>
          <w:p w14:paraId="0BBA6846">
            <w:pPr>
              <w:jc w:val="center"/>
              <w:rPr>
                <w:rFonts w:ascii="Times New Roman" w:hAnsi="Times New Roman" w:eastAsiaTheme="minorEastAsia"/>
                <w:color w:val="auto"/>
                <w:highlight w:val="none"/>
              </w:rPr>
            </w:pPr>
            <w:r>
              <w:rPr>
                <w:rFonts w:hint="eastAsia" w:ascii="Times New Roman" w:hAnsi="Times New Roman" w:eastAsiaTheme="minorEastAsia"/>
                <w:color w:val="auto"/>
                <w:highlight w:val="none"/>
              </w:rPr>
              <w:t>小型综合管廊外径</w:t>
            </w:r>
          </w:p>
        </w:tc>
      </w:tr>
      <w:tr w14:paraId="72F70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40" w:type="pct"/>
          </w:tcPr>
          <w:p w14:paraId="5024AAD9">
            <w:pPr>
              <w:jc w:val="center"/>
              <w:rPr>
                <w:rFonts w:ascii="Times New Roman" w:hAnsi="Times New Roman" w:eastAsiaTheme="minorEastAsia"/>
                <w:color w:val="auto"/>
                <w:highlight w:val="none"/>
              </w:rPr>
            </w:pPr>
            <w:r>
              <w:rPr>
                <w:rFonts w:ascii="Times New Roman" w:hAnsi="Times New Roman" w:eastAsiaTheme="minorEastAsia"/>
                <w:color w:val="auto"/>
                <w:highlight w:val="none"/>
              </w:rPr>
              <w:t>小型综合管廊与地下管线交叉垂直净距</w:t>
            </w:r>
            <w:r>
              <w:rPr>
                <w:rFonts w:hint="eastAsia" w:ascii="Times New Roman" w:hAnsi="Times New Roman" w:eastAsiaTheme="minorEastAsia"/>
                <w:color w:val="auto"/>
                <w:highlight w:val="none"/>
              </w:rPr>
              <w:t>（m）</w:t>
            </w:r>
          </w:p>
        </w:tc>
        <w:tc>
          <w:tcPr>
            <w:tcW w:w="1015" w:type="pct"/>
            <w:vAlign w:val="center"/>
          </w:tcPr>
          <w:p w14:paraId="29BB3068">
            <w:pPr>
              <w:jc w:val="center"/>
              <w:rPr>
                <w:rFonts w:ascii="Times New Roman" w:hAnsi="Times New Roman" w:eastAsiaTheme="minorEastAsia"/>
                <w:color w:val="auto"/>
                <w:highlight w:val="none"/>
              </w:rPr>
            </w:pPr>
            <w:r>
              <w:rPr>
                <w:rFonts w:hint="eastAsia" w:ascii="Times New Roman" w:hAnsi="Times New Roman" w:eastAsiaTheme="minorEastAsia"/>
                <w:color w:val="auto"/>
                <w:highlight w:val="none"/>
              </w:rPr>
              <w:t>0.5m</w:t>
            </w:r>
          </w:p>
        </w:tc>
        <w:tc>
          <w:tcPr>
            <w:tcW w:w="1445" w:type="pct"/>
            <w:vAlign w:val="center"/>
          </w:tcPr>
          <w:p w14:paraId="0D3CDD00">
            <w:pPr>
              <w:jc w:val="center"/>
              <w:rPr>
                <w:rFonts w:ascii="Times New Roman" w:hAnsi="Times New Roman" w:eastAsiaTheme="minorEastAsia"/>
                <w:color w:val="auto"/>
                <w:highlight w:val="none"/>
              </w:rPr>
            </w:pPr>
            <w:r>
              <w:rPr>
                <w:rFonts w:hint="eastAsia" w:ascii="Times New Roman" w:hAnsi="Times New Roman" w:eastAsiaTheme="minorEastAsia"/>
                <w:color w:val="auto"/>
                <w:highlight w:val="none"/>
              </w:rPr>
              <w:t>1.0m</w:t>
            </w:r>
          </w:p>
        </w:tc>
      </w:tr>
    </w:tbl>
    <w:p w14:paraId="0AB9098B">
      <w:pPr>
        <w:rPr>
          <w:rFonts w:ascii="Times New Roman" w:hAnsi="Times New Roman"/>
          <w:color w:val="auto"/>
          <w:highlight w:val="none"/>
        </w:rPr>
      </w:pPr>
      <w:r>
        <w:rPr>
          <w:rFonts w:hint="eastAsia" w:ascii="黑体" w:hAnsi="黑体" w:eastAsia="黑体" w:cs="黑体"/>
          <w:b/>
          <w:bCs/>
          <w:color w:val="auto"/>
          <w:highlight w:val="none"/>
        </w:rPr>
        <w:t>5.2</w:t>
      </w:r>
      <w:r>
        <w:rPr>
          <w:rFonts w:hint="eastAsia" w:ascii="黑体" w:hAnsi="黑体" w:eastAsia="黑体" w:cs="黑体"/>
          <w:b/>
          <w:bCs/>
          <w:color w:val="auto"/>
          <w:highlight w:val="none"/>
          <w:lang w:val="en-US" w:eastAsia="zh-CN"/>
        </w:rPr>
        <w:t>.2</w:t>
      </w:r>
      <w:r>
        <w:rPr>
          <w:rFonts w:hint="eastAsia" w:ascii="黑体" w:hAnsi="黑体" w:eastAsia="黑体" w:cs="黑体"/>
          <w:b/>
          <w:bCs/>
          <w:color w:val="auto"/>
          <w:highlight w:val="none"/>
        </w:rPr>
        <w:t xml:space="preserve"> </w:t>
      </w:r>
      <w:r>
        <w:rPr>
          <w:rFonts w:hint="eastAsia" w:ascii="Times New Roman" w:hAnsi="Times New Roman"/>
          <w:color w:val="auto"/>
          <w:highlight w:val="none"/>
        </w:rPr>
        <w:t>小型综合管廊最小转弯半径，应满足小型综合管廊内各种管线的转弯半径要求。</w:t>
      </w:r>
    </w:p>
    <w:p w14:paraId="26936D69">
      <w:pPr>
        <w:rPr>
          <w:rFonts w:ascii="Times New Roman" w:hAnsi="Times New Roman"/>
          <w:color w:val="auto"/>
          <w:highlight w:val="none"/>
        </w:rPr>
      </w:pPr>
      <w:r>
        <w:rPr>
          <w:rFonts w:hint="eastAsia" w:ascii="黑体" w:hAnsi="黑体" w:eastAsia="黑体" w:cs="黑体"/>
          <w:b/>
          <w:bCs/>
          <w:color w:val="auto"/>
          <w:highlight w:val="none"/>
        </w:rPr>
        <w:t>5.2.</w:t>
      </w:r>
      <w:r>
        <w:rPr>
          <w:rFonts w:hint="eastAsia" w:ascii="黑体" w:hAnsi="黑体" w:eastAsia="黑体" w:cs="黑体"/>
          <w:b/>
          <w:bCs/>
          <w:color w:val="auto"/>
          <w:highlight w:val="none"/>
          <w:lang w:val="en-US" w:eastAsia="zh-CN"/>
        </w:rPr>
        <w:t>3</w:t>
      </w:r>
      <w:r>
        <w:rPr>
          <w:rFonts w:ascii="黑体" w:hAnsi="黑体" w:eastAsia="黑体" w:cs="黑体"/>
          <w:b/>
          <w:bCs/>
          <w:color w:val="auto"/>
          <w:highlight w:val="none"/>
        </w:rPr>
        <w:t xml:space="preserve"> </w:t>
      </w:r>
      <w:r>
        <w:rPr>
          <w:rFonts w:hint="eastAsia" w:ascii="Times New Roman" w:hAnsi="Times New Roman"/>
          <w:color w:val="auto"/>
          <w:highlight w:val="none"/>
        </w:rPr>
        <w:t>小型综合管廊</w:t>
      </w:r>
      <w:r>
        <w:rPr>
          <w:rFonts w:hint="eastAsia" w:ascii="Times New Roman" w:hAnsi="Times New Roman"/>
          <w:color w:val="auto"/>
          <w:highlight w:val="none"/>
          <w:lang w:eastAsia="zh-CN"/>
        </w:rPr>
        <w:t>的</w:t>
      </w:r>
      <w:r>
        <w:rPr>
          <w:rFonts w:hint="eastAsia" w:ascii="Times New Roman" w:hAnsi="Times New Roman"/>
          <w:color w:val="auto"/>
          <w:highlight w:val="none"/>
          <w:lang w:val="en-US" w:eastAsia="zh-CN"/>
        </w:rPr>
        <w:t>端部及分支</w:t>
      </w:r>
      <w:r>
        <w:rPr>
          <w:rFonts w:hint="eastAsia" w:ascii="Times New Roman" w:hAnsi="Times New Roman"/>
          <w:color w:val="auto"/>
          <w:highlight w:val="none"/>
        </w:rPr>
        <w:t>，应采取密封和防止差异沉降的措施。</w:t>
      </w:r>
    </w:p>
    <w:p w14:paraId="00D92985">
      <w:pPr>
        <w:rPr>
          <w:rFonts w:ascii="Times New Roman" w:hAnsi="Times New Roman"/>
          <w:color w:val="auto"/>
          <w:highlight w:val="none"/>
        </w:rPr>
      </w:pPr>
      <w:r>
        <w:rPr>
          <w:rFonts w:hint="eastAsia" w:ascii="黑体" w:hAnsi="黑体" w:eastAsia="黑体" w:cs="黑体"/>
          <w:b/>
          <w:bCs/>
          <w:color w:val="auto"/>
          <w:highlight w:val="none"/>
        </w:rPr>
        <w:t>5.2.</w:t>
      </w:r>
      <w:r>
        <w:rPr>
          <w:rFonts w:hint="eastAsia" w:ascii="黑体" w:hAnsi="黑体" w:eastAsia="黑体" w:cs="黑体"/>
          <w:b/>
          <w:bCs/>
          <w:color w:val="auto"/>
          <w:highlight w:val="none"/>
          <w:lang w:val="en-US" w:eastAsia="zh-CN"/>
        </w:rPr>
        <w:t>4</w:t>
      </w:r>
      <w:r>
        <w:rPr>
          <w:rFonts w:ascii="黑体" w:hAnsi="黑体" w:eastAsia="黑体" w:cs="黑体"/>
          <w:b/>
          <w:bCs/>
          <w:color w:val="auto"/>
          <w:highlight w:val="none"/>
        </w:rPr>
        <w:t xml:space="preserve"> </w:t>
      </w:r>
      <w:r>
        <w:rPr>
          <w:rFonts w:hint="eastAsia" w:ascii="Times New Roman" w:hAnsi="Times New Roman"/>
          <w:color w:val="auto"/>
          <w:highlight w:val="none"/>
        </w:rPr>
        <w:t>小型综合管廊内纵向坡度超过10%时，应在人员通道部位设置防滑地坪。</w:t>
      </w:r>
    </w:p>
    <w:p w14:paraId="261A74A9">
      <w:pPr>
        <w:rPr>
          <w:rFonts w:ascii="Times New Roman" w:hAnsi="Times New Roman"/>
          <w:color w:val="auto"/>
          <w:highlight w:val="none"/>
        </w:rPr>
      </w:pPr>
      <w:r>
        <w:rPr>
          <w:rFonts w:hint="eastAsia" w:ascii="黑体" w:hAnsi="黑体" w:eastAsia="黑体" w:cs="黑体"/>
          <w:b/>
          <w:bCs/>
          <w:color w:val="auto"/>
          <w:highlight w:val="none"/>
        </w:rPr>
        <w:t>5.2.</w:t>
      </w:r>
      <w:r>
        <w:rPr>
          <w:rFonts w:hint="eastAsia" w:ascii="黑体" w:hAnsi="黑体" w:eastAsia="黑体" w:cs="黑体"/>
          <w:b/>
          <w:bCs/>
          <w:color w:val="auto"/>
          <w:highlight w:val="none"/>
          <w:lang w:val="en-US" w:eastAsia="zh-CN"/>
        </w:rPr>
        <w:t>5</w:t>
      </w:r>
      <w:r>
        <w:rPr>
          <w:rFonts w:hint="eastAsia" w:ascii="黑体" w:hAnsi="黑体" w:eastAsia="黑体" w:cs="黑体"/>
          <w:b/>
          <w:bCs/>
          <w:color w:val="auto"/>
          <w:highlight w:val="none"/>
        </w:rPr>
        <w:t xml:space="preserve"> </w:t>
      </w:r>
      <w:r>
        <w:rPr>
          <w:rFonts w:hint="eastAsia" w:ascii="Times New Roman" w:hAnsi="Times New Roman"/>
          <w:color w:val="auto"/>
          <w:highlight w:val="none"/>
        </w:rPr>
        <w:t>小型综合管廊内电力电缆弯曲半径和分层布置，应符合现行国家标准《电力工程电缆设计标准》GB50217的有关规定。</w:t>
      </w:r>
    </w:p>
    <w:p w14:paraId="5FFA4AB7">
      <w:pPr>
        <w:rPr>
          <w:rFonts w:ascii="Times New Roman" w:hAnsi="Times New Roman"/>
          <w:b/>
          <w:bCs/>
          <w:color w:val="auto"/>
          <w:highlight w:val="none"/>
        </w:rPr>
      </w:pPr>
      <w:r>
        <w:rPr>
          <w:rFonts w:hint="eastAsia" w:ascii="黑体" w:hAnsi="黑体" w:eastAsia="黑体" w:cs="黑体"/>
          <w:b/>
          <w:bCs/>
          <w:color w:val="auto"/>
          <w:highlight w:val="none"/>
        </w:rPr>
        <w:t>5.2.</w:t>
      </w:r>
      <w:r>
        <w:rPr>
          <w:rFonts w:hint="eastAsia" w:ascii="黑体" w:hAnsi="黑体" w:eastAsia="黑体" w:cs="黑体"/>
          <w:b/>
          <w:bCs/>
          <w:color w:val="auto"/>
          <w:highlight w:val="none"/>
          <w:lang w:val="en-US" w:eastAsia="zh-CN"/>
        </w:rPr>
        <w:t>6</w:t>
      </w:r>
      <w:r>
        <w:rPr>
          <w:rFonts w:ascii="黑体" w:hAnsi="黑体" w:eastAsia="黑体" w:cs="黑体"/>
          <w:b/>
          <w:bCs/>
          <w:color w:val="auto"/>
          <w:highlight w:val="none"/>
        </w:rPr>
        <w:t xml:space="preserve"> </w:t>
      </w:r>
      <w:r>
        <w:rPr>
          <w:rFonts w:hint="eastAsia" w:ascii="Times New Roman" w:hAnsi="Times New Roman"/>
          <w:color w:val="auto"/>
          <w:highlight w:val="none"/>
        </w:rPr>
        <w:t>小型综合管廊内通信线缆弯曲半径应大于线缆直径的</w:t>
      </w:r>
      <w:r>
        <w:rPr>
          <w:rFonts w:ascii="Times New Roman" w:hAnsi="Times New Roman"/>
          <w:color w:val="auto"/>
          <w:highlight w:val="none"/>
        </w:rPr>
        <w:t>15</w:t>
      </w:r>
      <w:r>
        <w:rPr>
          <w:rFonts w:hint="eastAsia" w:ascii="Times New Roman" w:hAnsi="Times New Roman"/>
          <w:color w:val="auto"/>
          <w:highlight w:val="none"/>
        </w:rPr>
        <w:t>倍且应符合现行行业标准《通信线路工程设计规范》</w:t>
      </w:r>
      <w:r>
        <w:rPr>
          <w:rFonts w:ascii="Times New Roman" w:hAnsi="Times New Roman"/>
          <w:color w:val="auto"/>
          <w:highlight w:val="none"/>
        </w:rPr>
        <w:t>YD5102</w:t>
      </w:r>
      <w:r>
        <w:rPr>
          <w:rFonts w:hint="eastAsia" w:ascii="Times New Roman" w:hAnsi="Times New Roman"/>
          <w:color w:val="auto"/>
          <w:highlight w:val="none"/>
        </w:rPr>
        <w:t>的有关规定。</w:t>
      </w:r>
    </w:p>
    <w:p w14:paraId="20113339">
      <w:pPr>
        <w:pStyle w:val="34"/>
        <w:spacing w:before="156" w:beforeLines="50" w:after="156" w:afterLines="50" w:line="400" w:lineRule="exact"/>
        <w:outlineLvl w:val="2"/>
        <w:rPr>
          <w:rFonts w:ascii="黑体" w:hAnsi="黑体" w:cs="黑体"/>
          <w:color w:val="auto"/>
          <w:sz w:val="21"/>
          <w:szCs w:val="21"/>
          <w:highlight w:val="none"/>
        </w:rPr>
      </w:pPr>
      <w:bookmarkStart w:id="78" w:name="_Toc12521"/>
      <w:bookmarkStart w:id="79" w:name="_Toc28381"/>
      <w:bookmarkStart w:id="80" w:name="_Toc25554"/>
      <w:r>
        <w:rPr>
          <w:rFonts w:hint="eastAsia" w:ascii="黑体" w:hAnsi="黑体" w:cs="黑体"/>
          <w:color w:val="auto"/>
          <w:sz w:val="21"/>
          <w:szCs w:val="21"/>
          <w:highlight w:val="none"/>
        </w:rPr>
        <w:t>5.3</w:t>
      </w:r>
      <w:r>
        <w:rPr>
          <w:rFonts w:hint="eastAsia" w:ascii="黑体" w:hAnsi="黑体" w:cs="黑体"/>
          <w:color w:val="auto"/>
          <w:sz w:val="21"/>
          <w:szCs w:val="21"/>
          <w:highlight w:val="none"/>
          <w:lang w:val="en-US" w:eastAsia="zh-CN"/>
        </w:rPr>
        <w:t xml:space="preserve"> </w:t>
      </w:r>
      <w:r>
        <w:rPr>
          <w:rFonts w:hint="eastAsia" w:ascii="黑体" w:hAnsi="黑体" w:cs="黑体"/>
          <w:color w:val="auto"/>
          <w:sz w:val="21"/>
          <w:szCs w:val="21"/>
          <w:highlight w:val="none"/>
        </w:rPr>
        <w:t>断面设计</w:t>
      </w:r>
      <w:bookmarkEnd w:id="78"/>
      <w:bookmarkEnd w:id="79"/>
      <w:bookmarkEnd w:id="80"/>
    </w:p>
    <w:p w14:paraId="4EE6E0AE">
      <w:pPr>
        <w:rPr>
          <w:rFonts w:ascii="Times New Roman" w:hAnsi="Times New Roman"/>
          <w:color w:val="auto"/>
          <w:highlight w:val="none"/>
        </w:rPr>
      </w:pPr>
      <w:r>
        <w:rPr>
          <w:rFonts w:hint="eastAsia" w:ascii="黑体" w:hAnsi="黑体" w:eastAsia="黑体" w:cs="黑体"/>
          <w:b/>
          <w:bCs/>
          <w:color w:val="auto"/>
          <w:highlight w:val="none"/>
        </w:rPr>
        <w:t>5.3.1</w:t>
      </w:r>
      <w:r>
        <w:rPr>
          <w:rFonts w:ascii="黑体" w:hAnsi="黑体" w:eastAsia="黑体" w:cs="黑体"/>
          <w:b/>
          <w:bCs/>
          <w:color w:val="auto"/>
          <w:highlight w:val="none"/>
        </w:rPr>
        <w:t xml:space="preserve"> </w:t>
      </w:r>
      <w:r>
        <w:rPr>
          <w:rFonts w:hint="eastAsia" w:ascii="Times New Roman" w:hAnsi="Times New Roman"/>
          <w:color w:val="auto"/>
          <w:highlight w:val="none"/>
        </w:rPr>
        <w:t>小型综合管廊标准断面内部尺寸应根据容纳管线的种类、规格、数量、安装、维护要求等综合确定，净高不应小于1.5m且不应大于2.1m，净宽不应大于2.4m。</w:t>
      </w:r>
    </w:p>
    <w:p w14:paraId="0A465E49">
      <w:pPr>
        <w:rPr>
          <w:rFonts w:ascii="Times New Roman" w:hAnsi="Times New Roman"/>
          <w:color w:val="auto"/>
          <w:highlight w:val="none"/>
        </w:rPr>
      </w:pPr>
      <w:r>
        <w:rPr>
          <w:rFonts w:hint="eastAsia" w:ascii="黑体" w:hAnsi="黑体" w:eastAsia="黑体" w:cs="黑体"/>
          <w:b/>
          <w:bCs/>
          <w:color w:val="auto"/>
          <w:highlight w:val="none"/>
        </w:rPr>
        <w:t>5.3.2</w:t>
      </w:r>
      <w:r>
        <w:rPr>
          <w:rFonts w:ascii="黑体" w:hAnsi="黑体" w:eastAsia="黑体" w:cs="黑体"/>
          <w:b/>
          <w:bCs/>
          <w:color w:val="auto"/>
          <w:highlight w:val="none"/>
        </w:rPr>
        <w:t xml:space="preserve"> </w:t>
      </w:r>
      <w:r>
        <w:rPr>
          <w:rFonts w:hint="eastAsia" w:ascii="Times New Roman" w:hAnsi="Times New Roman"/>
          <w:color w:val="auto"/>
          <w:highlight w:val="none"/>
        </w:rPr>
        <w:t>小型综合管廊检修通道净宽，单侧设置支架或管道时，不宜小于0.6m，双侧设置支架或管道时，不宜小于0.7m。</w:t>
      </w:r>
    </w:p>
    <w:p w14:paraId="489BDFA6">
      <w:pPr>
        <w:rPr>
          <w:rFonts w:ascii="Times New Roman" w:hAnsi="Times New Roman"/>
          <w:color w:val="auto"/>
          <w:highlight w:val="none"/>
        </w:rPr>
      </w:pPr>
      <w:r>
        <w:rPr>
          <w:rFonts w:hint="eastAsia" w:ascii="Times New Roman" w:hAnsi="Times New Roman"/>
          <w:color w:val="auto"/>
          <w:highlight w:val="none"/>
        </w:rPr>
        <w:t>【</w:t>
      </w:r>
      <w:r>
        <w:rPr>
          <w:rFonts w:hint="eastAsia" w:ascii="Times New Roman" w:hAnsi="Times New Roman"/>
          <w:b/>
          <w:bCs/>
          <w:color w:val="auto"/>
          <w:highlight w:val="none"/>
        </w:rPr>
        <w:t>条文说明</w:t>
      </w:r>
      <w:r>
        <w:rPr>
          <w:rFonts w:hint="eastAsia" w:ascii="Times New Roman" w:hAnsi="Times New Roman"/>
          <w:color w:val="auto"/>
          <w:highlight w:val="none"/>
        </w:rPr>
        <w:t>：本条主要参照《电力工程电缆设计标准》GB 50217-2018中5.5.1条的规定，电缆沟内通道的净宽尺寸如下表所示：</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0"/>
        <w:gridCol w:w="1757"/>
        <w:gridCol w:w="1869"/>
        <w:gridCol w:w="1869"/>
      </w:tblGrid>
      <w:tr w14:paraId="215AF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vMerge w:val="restart"/>
            <w:vAlign w:val="center"/>
          </w:tcPr>
          <w:p w14:paraId="1EDFC7F0">
            <w:pPr>
              <w:jc w:val="center"/>
              <w:rPr>
                <w:color w:val="auto"/>
                <w:highlight w:val="none"/>
              </w:rPr>
            </w:pPr>
            <w:r>
              <w:rPr>
                <w:rFonts w:hint="eastAsia"/>
                <w:color w:val="auto"/>
                <w:highlight w:val="none"/>
              </w:rPr>
              <w:t>电缆支架配置方式</w:t>
            </w:r>
          </w:p>
        </w:tc>
        <w:tc>
          <w:tcPr>
            <w:tcW w:w="5495" w:type="dxa"/>
            <w:gridSpan w:val="3"/>
          </w:tcPr>
          <w:p w14:paraId="0A05F37E">
            <w:pPr>
              <w:jc w:val="center"/>
              <w:rPr>
                <w:rFonts w:hint="default" w:eastAsia="宋体"/>
                <w:color w:val="auto"/>
                <w:highlight w:val="none"/>
                <w:lang w:val="en-US" w:eastAsia="zh-CN"/>
              </w:rPr>
            </w:pPr>
            <w:r>
              <w:rPr>
                <w:rFonts w:hint="eastAsia"/>
                <w:color w:val="auto"/>
                <w:highlight w:val="none"/>
              </w:rPr>
              <w:t>具有下列沟深的电缆沟</w:t>
            </w:r>
            <w:r>
              <w:rPr>
                <w:rFonts w:hint="eastAsia"/>
                <w:color w:val="auto"/>
                <w:highlight w:val="none"/>
                <w:lang w:val="en-US" w:eastAsia="zh-CN"/>
              </w:rPr>
              <w:t>(mm)</w:t>
            </w:r>
          </w:p>
        </w:tc>
      </w:tr>
      <w:tr w14:paraId="25FA6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vMerge w:val="continue"/>
          </w:tcPr>
          <w:p w14:paraId="38BCF286">
            <w:pPr>
              <w:jc w:val="center"/>
              <w:rPr>
                <w:color w:val="auto"/>
                <w:highlight w:val="none"/>
              </w:rPr>
            </w:pPr>
          </w:p>
        </w:tc>
        <w:tc>
          <w:tcPr>
            <w:tcW w:w="1757" w:type="dxa"/>
          </w:tcPr>
          <w:p w14:paraId="43B0C20A">
            <w:pPr>
              <w:jc w:val="center"/>
              <w:rPr>
                <w:color w:val="auto"/>
                <w:highlight w:val="none"/>
              </w:rPr>
            </w:pPr>
            <w:r>
              <w:rPr>
                <w:rFonts w:hint="eastAsia"/>
                <w:color w:val="auto"/>
                <w:highlight w:val="none"/>
              </w:rPr>
              <w:t>＜600</w:t>
            </w:r>
          </w:p>
        </w:tc>
        <w:tc>
          <w:tcPr>
            <w:tcW w:w="1869" w:type="dxa"/>
          </w:tcPr>
          <w:p w14:paraId="6F10DEC9">
            <w:pPr>
              <w:jc w:val="center"/>
              <w:rPr>
                <w:color w:val="auto"/>
                <w:highlight w:val="none"/>
              </w:rPr>
            </w:pPr>
            <w:r>
              <w:rPr>
                <w:rFonts w:hint="eastAsia"/>
                <w:color w:val="auto"/>
                <w:highlight w:val="none"/>
              </w:rPr>
              <w:t>600～1000</w:t>
            </w:r>
          </w:p>
        </w:tc>
        <w:tc>
          <w:tcPr>
            <w:tcW w:w="1869" w:type="dxa"/>
          </w:tcPr>
          <w:p w14:paraId="753FA719">
            <w:pPr>
              <w:jc w:val="center"/>
              <w:rPr>
                <w:color w:val="auto"/>
                <w:highlight w:val="none"/>
              </w:rPr>
            </w:pPr>
            <w:r>
              <w:rPr>
                <w:rFonts w:hint="eastAsia"/>
                <w:color w:val="auto"/>
                <w:highlight w:val="none"/>
              </w:rPr>
              <w:t>＞1000</w:t>
            </w:r>
          </w:p>
        </w:tc>
      </w:tr>
      <w:tr w14:paraId="5A5CD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tcPr>
          <w:p w14:paraId="11791388">
            <w:pPr>
              <w:jc w:val="center"/>
              <w:rPr>
                <w:color w:val="auto"/>
                <w:highlight w:val="none"/>
              </w:rPr>
            </w:pPr>
            <w:r>
              <w:rPr>
                <w:rFonts w:hint="eastAsia"/>
                <w:color w:val="auto"/>
                <w:highlight w:val="none"/>
              </w:rPr>
              <w:t>两侧</w:t>
            </w:r>
          </w:p>
        </w:tc>
        <w:tc>
          <w:tcPr>
            <w:tcW w:w="1757" w:type="dxa"/>
          </w:tcPr>
          <w:p w14:paraId="6CEEF5F6">
            <w:pPr>
              <w:jc w:val="center"/>
              <w:rPr>
                <w:color w:val="auto"/>
                <w:highlight w:val="none"/>
              </w:rPr>
            </w:pPr>
            <w:r>
              <w:rPr>
                <w:rFonts w:hint="eastAsia"/>
                <w:color w:val="auto"/>
                <w:highlight w:val="none"/>
              </w:rPr>
              <w:t>300</w:t>
            </w:r>
          </w:p>
        </w:tc>
        <w:tc>
          <w:tcPr>
            <w:tcW w:w="1869" w:type="dxa"/>
          </w:tcPr>
          <w:p w14:paraId="265EC8FE">
            <w:pPr>
              <w:jc w:val="center"/>
              <w:rPr>
                <w:color w:val="auto"/>
                <w:highlight w:val="none"/>
              </w:rPr>
            </w:pPr>
            <w:r>
              <w:rPr>
                <w:rFonts w:hint="eastAsia"/>
                <w:color w:val="auto"/>
                <w:highlight w:val="none"/>
              </w:rPr>
              <w:t>500</w:t>
            </w:r>
          </w:p>
        </w:tc>
        <w:tc>
          <w:tcPr>
            <w:tcW w:w="1869" w:type="dxa"/>
          </w:tcPr>
          <w:p w14:paraId="1D517E09">
            <w:pPr>
              <w:jc w:val="center"/>
              <w:rPr>
                <w:color w:val="auto"/>
                <w:highlight w:val="none"/>
              </w:rPr>
            </w:pPr>
            <w:r>
              <w:rPr>
                <w:rFonts w:hint="eastAsia"/>
                <w:color w:val="auto"/>
                <w:highlight w:val="none"/>
              </w:rPr>
              <w:t>700</w:t>
            </w:r>
          </w:p>
        </w:tc>
      </w:tr>
      <w:tr w14:paraId="7ADC9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tcPr>
          <w:p w14:paraId="36ABD3F2">
            <w:pPr>
              <w:jc w:val="center"/>
              <w:rPr>
                <w:color w:val="auto"/>
                <w:highlight w:val="none"/>
              </w:rPr>
            </w:pPr>
            <w:r>
              <w:rPr>
                <w:rFonts w:hint="eastAsia"/>
                <w:color w:val="auto"/>
                <w:highlight w:val="none"/>
              </w:rPr>
              <w:t>单侧</w:t>
            </w:r>
          </w:p>
        </w:tc>
        <w:tc>
          <w:tcPr>
            <w:tcW w:w="1757" w:type="dxa"/>
          </w:tcPr>
          <w:p w14:paraId="78EEC7D2">
            <w:pPr>
              <w:jc w:val="center"/>
              <w:rPr>
                <w:color w:val="auto"/>
                <w:highlight w:val="none"/>
              </w:rPr>
            </w:pPr>
            <w:r>
              <w:rPr>
                <w:rFonts w:hint="eastAsia"/>
                <w:color w:val="auto"/>
                <w:highlight w:val="none"/>
              </w:rPr>
              <w:t>300</w:t>
            </w:r>
          </w:p>
        </w:tc>
        <w:tc>
          <w:tcPr>
            <w:tcW w:w="1869" w:type="dxa"/>
          </w:tcPr>
          <w:p w14:paraId="7B74CC7B">
            <w:pPr>
              <w:jc w:val="center"/>
              <w:rPr>
                <w:color w:val="auto"/>
                <w:highlight w:val="none"/>
              </w:rPr>
            </w:pPr>
            <w:r>
              <w:rPr>
                <w:rFonts w:hint="eastAsia"/>
                <w:color w:val="auto"/>
                <w:highlight w:val="none"/>
              </w:rPr>
              <w:t>450</w:t>
            </w:r>
          </w:p>
        </w:tc>
        <w:tc>
          <w:tcPr>
            <w:tcW w:w="1869" w:type="dxa"/>
          </w:tcPr>
          <w:p w14:paraId="4AD57B00">
            <w:pPr>
              <w:jc w:val="center"/>
              <w:rPr>
                <w:color w:val="auto"/>
                <w:highlight w:val="none"/>
              </w:rPr>
            </w:pPr>
            <w:r>
              <w:rPr>
                <w:rFonts w:hint="eastAsia"/>
                <w:color w:val="auto"/>
                <w:highlight w:val="none"/>
              </w:rPr>
              <w:t>600</w:t>
            </w:r>
          </w:p>
        </w:tc>
      </w:tr>
    </w:tbl>
    <w:p w14:paraId="7B185F27">
      <w:pPr>
        <w:rPr>
          <w:rFonts w:ascii="Times New Roman" w:hAnsi="Times New Roman"/>
          <w:color w:val="auto"/>
          <w:highlight w:val="none"/>
        </w:rPr>
      </w:pPr>
      <w:r>
        <w:rPr>
          <w:rFonts w:hint="eastAsia" w:ascii="Times New Roman" w:hAnsi="Times New Roman"/>
          <w:color w:val="auto"/>
          <w:highlight w:val="none"/>
        </w:rPr>
        <w:t>另考虑入廊管道施工、维修便利，检修通道净宽需满足不</w:t>
      </w:r>
      <w:r>
        <w:rPr>
          <w:rFonts w:hint="eastAsia" w:ascii="Times New Roman" w:hAnsi="Times New Roman"/>
          <w:color w:val="auto"/>
          <w:highlight w:val="none"/>
          <w:lang w:val="en-US" w:eastAsia="zh-CN"/>
        </w:rPr>
        <w:t>宜</w:t>
      </w:r>
      <w:r>
        <w:rPr>
          <w:rFonts w:hint="eastAsia" w:ascii="Times New Roman" w:hAnsi="Times New Roman"/>
          <w:color w:val="auto"/>
          <w:highlight w:val="none"/>
        </w:rPr>
        <w:t>小于入廊最大管道公称直径加0.3m的要求。】</w:t>
      </w:r>
    </w:p>
    <w:p w14:paraId="71074916">
      <w:pPr>
        <w:rPr>
          <w:rFonts w:ascii="Times New Roman" w:hAnsi="Times New Roman"/>
          <w:color w:val="auto"/>
          <w:highlight w:val="none"/>
        </w:rPr>
      </w:pPr>
      <w:r>
        <w:rPr>
          <w:rFonts w:hint="eastAsia" w:ascii="黑体" w:hAnsi="黑体" w:eastAsia="黑体" w:cs="黑体"/>
          <w:b/>
          <w:bCs/>
          <w:color w:val="auto"/>
          <w:highlight w:val="none"/>
        </w:rPr>
        <w:t xml:space="preserve">5.3.3 </w:t>
      </w:r>
      <w:r>
        <w:rPr>
          <w:rFonts w:hint="eastAsia" w:ascii="Times New Roman" w:hAnsi="Times New Roman"/>
          <w:color w:val="auto"/>
          <w:highlight w:val="none"/>
        </w:rPr>
        <w:t>小型综合管廊内电力电缆、通信线缆的支架间距应符合现行国家标准《电力工程电缆设计标准》GB 50217、《光缆进线室设计规定》YD/T 5151 的有关规定。</w:t>
      </w:r>
    </w:p>
    <w:p w14:paraId="3F8BBCD0">
      <w:pPr>
        <w:rPr>
          <w:rFonts w:hint="eastAsia" w:ascii="Times New Roman" w:hAnsi="Times New Roman"/>
          <w:color w:val="auto"/>
          <w:highlight w:val="none"/>
        </w:rPr>
      </w:pPr>
      <w:r>
        <w:rPr>
          <w:rFonts w:hint="eastAsia" w:ascii="黑体" w:hAnsi="黑体" w:eastAsia="黑体" w:cs="黑体"/>
          <w:b/>
          <w:bCs/>
          <w:color w:val="auto"/>
          <w:highlight w:val="none"/>
        </w:rPr>
        <w:t>5.3.4</w:t>
      </w:r>
      <w:r>
        <w:rPr>
          <w:rFonts w:ascii="黑体" w:hAnsi="黑体" w:eastAsia="黑体" w:cs="黑体"/>
          <w:b/>
          <w:bCs/>
          <w:color w:val="auto"/>
          <w:highlight w:val="none"/>
        </w:rPr>
        <w:t xml:space="preserve"> </w:t>
      </w:r>
      <w:r>
        <w:rPr>
          <w:rFonts w:hint="eastAsia" w:ascii="Times New Roman" w:hAnsi="Times New Roman"/>
          <w:color w:val="auto"/>
          <w:highlight w:val="none"/>
        </w:rPr>
        <w:t>线缆支架层间距离，应满足敷设线缆及其固定、安置接头的要求。线缆支架的长度应能满足所在线缆敷设的固定需求及线缆之间的间隙需求。在采用常规电缆截面或接头外径的情况下，电缆支架层间距离、长度的最小值，可取表 5.3.4所列数值。</w:t>
      </w:r>
    </w:p>
    <w:p w14:paraId="0EB6E55F">
      <w:pPr>
        <w:rPr>
          <w:rFonts w:hint="eastAsia" w:ascii="Times New Roman" w:hAnsi="Times New Roman"/>
          <w:color w:val="auto"/>
          <w:highlight w:val="none"/>
        </w:rPr>
      </w:pPr>
    </w:p>
    <w:p w14:paraId="6ED76016">
      <w:pPr>
        <w:jc w:val="center"/>
        <w:rPr>
          <w:color w:val="auto"/>
          <w:highlight w:val="none"/>
        </w:rPr>
      </w:pPr>
      <w:r>
        <w:rPr>
          <w:rFonts w:hint="eastAsia"/>
          <w:color w:val="auto"/>
          <w:highlight w:val="none"/>
        </w:rPr>
        <w:t>表5.</w:t>
      </w:r>
      <w:r>
        <w:rPr>
          <w:color w:val="auto"/>
          <w:highlight w:val="none"/>
        </w:rPr>
        <w:t>3</w:t>
      </w:r>
      <w:r>
        <w:rPr>
          <w:rFonts w:hint="eastAsia"/>
          <w:color w:val="auto"/>
          <w:highlight w:val="none"/>
        </w:rPr>
        <w:t>.4线缆支架层间距最小值、支架长度最小值（mm）</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47"/>
        <w:gridCol w:w="2977"/>
        <w:gridCol w:w="2772"/>
      </w:tblGrid>
      <w:tr w14:paraId="37EFE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47" w:type="dxa"/>
          </w:tcPr>
          <w:p w14:paraId="578E14BE">
            <w:pPr>
              <w:pStyle w:val="35"/>
              <w:rPr>
                <w:rFonts w:ascii="宋体" w:hAnsi="宋体" w:eastAsiaTheme="minorEastAsia"/>
                <w:color w:val="auto"/>
                <w:sz w:val="21"/>
                <w:highlight w:val="none"/>
              </w:rPr>
            </w:pPr>
            <w:r>
              <w:rPr>
                <w:rFonts w:ascii="宋体" w:hAnsi="宋体" w:eastAsiaTheme="minorEastAsia"/>
                <w:color w:val="auto"/>
                <w:sz w:val="21"/>
                <w:highlight w:val="none"/>
              </w:rPr>
              <w:t>缆线类型及敷设特征</w:t>
            </w:r>
          </w:p>
        </w:tc>
        <w:tc>
          <w:tcPr>
            <w:tcW w:w="2977" w:type="dxa"/>
          </w:tcPr>
          <w:p w14:paraId="00BE9478">
            <w:pPr>
              <w:pStyle w:val="35"/>
              <w:rPr>
                <w:rFonts w:ascii="宋体" w:hAnsi="宋体" w:eastAsiaTheme="minorEastAsia"/>
                <w:color w:val="auto"/>
                <w:sz w:val="21"/>
                <w:highlight w:val="none"/>
              </w:rPr>
            </w:pPr>
            <w:r>
              <w:rPr>
                <w:rFonts w:ascii="宋体" w:hAnsi="宋体" w:eastAsiaTheme="minorEastAsia"/>
                <w:color w:val="auto"/>
                <w:sz w:val="21"/>
                <w:highlight w:val="none"/>
              </w:rPr>
              <w:t>支架层</w:t>
            </w:r>
            <w:r>
              <w:rPr>
                <w:rFonts w:hint="eastAsia" w:ascii="宋体" w:hAnsi="宋体" w:eastAsiaTheme="minorEastAsia"/>
                <w:color w:val="auto"/>
                <w:sz w:val="21"/>
                <w:highlight w:val="none"/>
              </w:rPr>
              <w:t>间距最小值（mm）</w:t>
            </w:r>
          </w:p>
        </w:tc>
        <w:tc>
          <w:tcPr>
            <w:tcW w:w="2772" w:type="dxa"/>
          </w:tcPr>
          <w:p w14:paraId="2A527219">
            <w:pPr>
              <w:pStyle w:val="35"/>
              <w:rPr>
                <w:rFonts w:ascii="宋体" w:hAnsi="宋体" w:eastAsiaTheme="minorEastAsia"/>
                <w:color w:val="auto"/>
                <w:sz w:val="21"/>
                <w:highlight w:val="none"/>
              </w:rPr>
            </w:pPr>
            <w:r>
              <w:rPr>
                <w:rFonts w:asciiTheme="minorEastAsia" w:hAnsiTheme="minorEastAsia" w:eastAsiaTheme="minorEastAsia"/>
                <w:color w:val="auto"/>
                <w:sz w:val="21"/>
                <w:highlight w:val="none"/>
              </w:rPr>
              <w:t>支架</w:t>
            </w:r>
            <w:r>
              <w:rPr>
                <w:rFonts w:hint="eastAsia" w:asciiTheme="minorEastAsia" w:hAnsiTheme="minorEastAsia" w:eastAsiaTheme="minorEastAsia"/>
                <w:color w:val="auto"/>
                <w:sz w:val="21"/>
                <w:highlight w:val="none"/>
              </w:rPr>
              <w:t>长度最小值（mm）</w:t>
            </w:r>
          </w:p>
        </w:tc>
      </w:tr>
      <w:tr w14:paraId="365B3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47" w:type="dxa"/>
          </w:tcPr>
          <w:p w14:paraId="0A5FDAEF">
            <w:pPr>
              <w:pStyle w:val="35"/>
              <w:rPr>
                <w:rFonts w:ascii="宋体" w:hAnsi="宋体" w:eastAsiaTheme="minorEastAsia"/>
                <w:color w:val="auto"/>
                <w:sz w:val="21"/>
                <w:highlight w:val="none"/>
              </w:rPr>
            </w:pPr>
            <w:r>
              <w:rPr>
                <w:rFonts w:ascii="宋体" w:hAnsi="宋体" w:eastAsiaTheme="minorEastAsia"/>
                <w:color w:val="auto"/>
                <w:sz w:val="21"/>
                <w:highlight w:val="none"/>
              </w:rPr>
              <w:t>通信线缆</w:t>
            </w:r>
          </w:p>
        </w:tc>
        <w:tc>
          <w:tcPr>
            <w:tcW w:w="2977" w:type="dxa"/>
          </w:tcPr>
          <w:p w14:paraId="1A5EB46E">
            <w:pPr>
              <w:pStyle w:val="35"/>
              <w:rPr>
                <w:rFonts w:ascii="宋体" w:hAnsi="宋体" w:eastAsiaTheme="minorEastAsia"/>
                <w:color w:val="auto"/>
                <w:sz w:val="21"/>
                <w:highlight w:val="none"/>
              </w:rPr>
            </w:pPr>
            <w:r>
              <w:rPr>
                <w:rFonts w:hint="eastAsia" w:ascii="宋体" w:hAnsi="宋体" w:eastAsiaTheme="minorEastAsia"/>
                <w:color w:val="auto"/>
                <w:sz w:val="21"/>
                <w:highlight w:val="none"/>
              </w:rPr>
              <w:t>250</w:t>
            </w:r>
          </w:p>
        </w:tc>
        <w:tc>
          <w:tcPr>
            <w:tcW w:w="2772" w:type="dxa"/>
          </w:tcPr>
          <w:p w14:paraId="3E3C9CE1">
            <w:pPr>
              <w:pStyle w:val="35"/>
              <w:rPr>
                <w:rFonts w:ascii="宋体" w:hAnsi="宋体" w:eastAsiaTheme="minorEastAsia"/>
                <w:color w:val="auto"/>
                <w:sz w:val="21"/>
                <w:highlight w:val="none"/>
              </w:rPr>
            </w:pPr>
            <w:r>
              <w:rPr>
                <w:rFonts w:hint="eastAsia" w:asciiTheme="minorEastAsia" w:hAnsiTheme="minorEastAsia" w:eastAsiaTheme="minorEastAsia"/>
                <w:color w:val="auto"/>
                <w:sz w:val="21"/>
                <w:highlight w:val="none"/>
              </w:rPr>
              <w:t>≥130N+30</w:t>
            </w:r>
          </w:p>
        </w:tc>
      </w:tr>
      <w:tr w14:paraId="402BA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47" w:type="dxa"/>
          </w:tcPr>
          <w:p w14:paraId="63761E08">
            <w:pPr>
              <w:pStyle w:val="35"/>
              <w:rPr>
                <w:rFonts w:ascii="宋体" w:hAnsi="宋体" w:eastAsiaTheme="minorEastAsia"/>
                <w:color w:val="auto"/>
                <w:sz w:val="21"/>
                <w:highlight w:val="none"/>
              </w:rPr>
            </w:pPr>
            <w:r>
              <w:rPr>
                <w:rFonts w:ascii="宋体" w:hAnsi="宋体" w:eastAsiaTheme="minorEastAsia"/>
                <w:color w:val="auto"/>
                <w:sz w:val="21"/>
                <w:highlight w:val="none"/>
              </w:rPr>
              <w:t>10</w:t>
            </w:r>
            <w:r>
              <w:rPr>
                <w:rFonts w:hint="eastAsia" w:ascii="宋体" w:hAnsi="宋体" w:eastAsiaTheme="minorEastAsia"/>
                <w:color w:val="auto"/>
                <w:sz w:val="21"/>
                <w:highlight w:val="none"/>
              </w:rPr>
              <w:t>k</w:t>
            </w:r>
            <w:r>
              <w:rPr>
                <w:rFonts w:ascii="宋体" w:hAnsi="宋体" w:eastAsiaTheme="minorEastAsia"/>
                <w:color w:val="auto"/>
                <w:sz w:val="21"/>
                <w:highlight w:val="none"/>
              </w:rPr>
              <w:t>V电力电缆</w:t>
            </w:r>
          </w:p>
        </w:tc>
        <w:tc>
          <w:tcPr>
            <w:tcW w:w="2977" w:type="dxa"/>
          </w:tcPr>
          <w:p w14:paraId="456B1656">
            <w:pPr>
              <w:pStyle w:val="35"/>
              <w:rPr>
                <w:rFonts w:ascii="宋体" w:hAnsi="宋体" w:eastAsiaTheme="minorEastAsia"/>
                <w:color w:val="auto"/>
                <w:sz w:val="21"/>
                <w:highlight w:val="none"/>
              </w:rPr>
            </w:pPr>
            <w:r>
              <w:rPr>
                <w:rFonts w:hint="eastAsia" w:ascii="宋体" w:hAnsi="宋体" w:eastAsiaTheme="minorEastAsia"/>
                <w:color w:val="auto"/>
                <w:sz w:val="21"/>
                <w:highlight w:val="none"/>
              </w:rPr>
              <w:t>300</w:t>
            </w:r>
          </w:p>
        </w:tc>
        <w:tc>
          <w:tcPr>
            <w:tcW w:w="2772" w:type="dxa"/>
          </w:tcPr>
          <w:p w14:paraId="3844BDA1">
            <w:pPr>
              <w:pStyle w:val="35"/>
              <w:rPr>
                <w:rFonts w:ascii="宋体" w:hAnsi="宋体" w:eastAsiaTheme="minorEastAsia"/>
                <w:color w:val="auto"/>
                <w:sz w:val="21"/>
                <w:highlight w:val="none"/>
              </w:rPr>
            </w:pPr>
            <w:r>
              <w:rPr>
                <w:rFonts w:hint="eastAsia" w:asciiTheme="minorEastAsia" w:hAnsiTheme="minorEastAsia" w:eastAsiaTheme="minorEastAsia"/>
                <w:color w:val="auto"/>
                <w:sz w:val="21"/>
                <w:highlight w:val="none"/>
              </w:rPr>
              <w:t>≥200N</w:t>
            </w:r>
          </w:p>
        </w:tc>
      </w:tr>
    </w:tbl>
    <w:p w14:paraId="64EF01A5">
      <w:pPr>
        <w:ind w:firstLine="480"/>
        <w:rPr>
          <w:rFonts w:ascii="Times New Roman" w:hAnsi="Times New Roman"/>
          <w:bCs/>
          <w:color w:val="auto"/>
          <w:szCs w:val="24"/>
          <w:highlight w:val="none"/>
        </w:rPr>
      </w:pPr>
      <w:r>
        <w:rPr>
          <w:rFonts w:hint="eastAsia" w:ascii="Times New Roman" w:hAnsi="Times New Roman"/>
          <w:bCs/>
          <w:color w:val="auto"/>
          <w:szCs w:val="24"/>
          <w:highlight w:val="none"/>
        </w:rPr>
        <w:t>注：N为电力电缆或通信电缆的根数。</w:t>
      </w:r>
    </w:p>
    <w:p w14:paraId="401EF1E8">
      <w:pPr>
        <w:rPr>
          <w:rFonts w:ascii="Times New Roman" w:hAnsi="Times New Roman"/>
          <w:color w:val="auto"/>
          <w:highlight w:val="none"/>
        </w:rPr>
      </w:pPr>
      <w:r>
        <w:rPr>
          <w:rFonts w:hint="eastAsia" w:ascii="黑体" w:hAnsi="黑体" w:eastAsia="黑体" w:cs="黑体"/>
          <w:b/>
          <w:bCs/>
          <w:color w:val="auto"/>
          <w:highlight w:val="none"/>
        </w:rPr>
        <w:t>5.3.</w:t>
      </w:r>
      <w:bookmarkStart w:id="81" w:name="_Hlk188189433"/>
      <w:r>
        <w:rPr>
          <w:rFonts w:hint="eastAsia" w:ascii="黑体" w:hAnsi="黑体" w:eastAsia="黑体" w:cs="黑体"/>
          <w:b/>
          <w:bCs/>
          <w:color w:val="auto"/>
          <w:highlight w:val="none"/>
        </w:rPr>
        <w:t>5</w:t>
      </w:r>
      <w:r>
        <w:rPr>
          <w:rFonts w:ascii="黑体" w:hAnsi="黑体" w:eastAsia="黑体" w:cs="黑体"/>
          <w:b/>
          <w:bCs/>
          <w:color w:val="auto"/>
          <w:highlight w:val="none"/>
        </w:rPr>
        <w:t xml:space="preserve"> </w:t>
      </w:r>
      <w:r>
        <w:rPr>
          <w:rFonts w:hint="eastAsia" w:ascii="Times New Roman" w:hAnsi="Times New Roman"/>
          <w:color w:val="auto"/>
          <w:highlight w:val="none"/>
        </w:rPr>
        <w:t>管径</w:t>
      </w:r>
      <w:r>
        <w:rPr>
          <w:rFonts w:hint="eastAsia" w:ascii="Times New Roman" w:hAnsi="Times New Roman"/>
          <w:color w:val="auto"/>
          <w:highlight w:val="none"/>
          <w:lang w:val="en-US" w:eastAsia="zh-CN"/>
        </w:rPr>
        <w:t>≤</w:t>
      </w:r>
      <w:r>
        <w:rPr>
          <w:rFonts w:hint="eastAsia" w:ascii="Times New Roman" w:hAnsi="Times New Roman"/>
          <w:color w:val="auto"/>
          <w:highlight w:val="none"/>
        </w:rPr>
        <w:t>DN300的入廊压力流管道</w:t>
      </w:r>
      <w:bookmarkEnd w:id="81"/>
      <w:r>
        <w:rPr>
          <w:rFonts w:hint="eastAsia" w:ascii="Times New Roman" w:hAnsi="Times New Roman"/>
          <w:color w:val="auto"/>
          <w:highlight w:val="none"/>
        </w:rPr>
        <w:t>，宜安装于支架上，入廊管径</w:t>
      </w:r>
      <w:r>
        <w:rPr>
          <w:rFonts w:hint="eastAsia" w:ascii="Times New Roman" w:hAnsi="Times New Roman"/>
          <w:color w:val="auto"/>
          <w:highlight w:val="none"/>
          <w:lang w:val="en-US" w:eastAsia="zh-CN"/>
        </w:rPr>
        <w:t>＞</w:t>
      </w:r>
      <w:r>
        <w:rPr>
          <w:rFonts w:hint="eastAsia" w:ascii="Times New Roman" w:hAnsi="Times New Roman"/>
          <w:color w:val="auto"/>
          <w:highlight w:val="none"/>
        </w:rPr>
        <w:t>DN300的</w:t>
      </w:r>
      <w:r>
        <w:rPr>
          <w:rFonts w:hint="eastAsia" w:ascii="Times New Roman" w:hAnsi="Times New Roman"/>
          <w:color w:val="auto"/>
          <w:highlight w:val="none"/>
          <w:lang w:val="en-US" w:eastAsia="zh-CN"/>
        </w:rPr>
        <w:t>入廊</w:t>
      </w:r>
      <w:r>
        <w:rPr>
          <w:rFonts w:hint="eastAsia" w:ascii="Times New Roman" w:hAnsi="Times New Roman"/>
          <w:color w:val="auto"/>
          <w:highlight w:val="none"/>
        </w:rPr>
        <w:t>压力流管道，宜安装于支墩上，优先采用成品支墩，入廊管道安装间距及支架、支墩宽度不宜小于表5.</w:t>
      </w:r>
      <w:r>
        <w:rPr>
          <w:rFonts w:ascii="Times New Roman" w:hAnsi="Times New Roman"/>
          <w:color w:val="auto"/>
          <w:highlight w:val="none"/>
        </w:rPr>
        <w:t>3</w:t>
      </w:r>
      <w:r>
        <w:rPr>
          <w:rFonts w:hint="eastAsia" w:ascii="Times New Roman" w:hAnsi="Times New Roman"/>
          <w:color w:val="auto"/>
          <w:highlight w:val="none"/>
        </w:rPr>
        <w:t>.5的规定。</w:t>
      </w:r>
    </w:p>
    <w:p w14:paraId="7E331862">
      <w:pPr>
        <w:ind w:firstLine="0"/>
        <w:jc w:val="center"/>
        <w:rPr>
          <w:rFonts w:hint="eastAsia" w:ascii="Calibri" w:hAnsi="Calibri" w:eastAsia="宋体"/>
          <w:color w:val="auto"/>
          <w:highlight w:val="none"/>
        </w:rPr>
      </w:pPr>
      <w:r>
        <w:rPr>
          <w:rFonts w:hint="eastAsia" w:ascii="Calibri" w:hAnsi="Calibri" w:eastAsia="宋体"/>
          <w:color w:val="auto"/>
          <w:highlight w:val="none"/>
        </w:rPr>
        <w:t>表5.3.5</w:t>
      </w:r>
      <w:r>
        <w:rPr>
          <w:rFonts w:hint="eastAsia" w:ascii="Times New Roman" w:hAnsi="Times New Roman"/>
          <w:color w:val="auto"/>
          <w:highlight w:val="none"/>
        </w:rPr>
        <w:t>入廊管道安装间距及支架、支墩宽度</w:t>
      </w:r>
      <w:r>
        <w:rPr>
          <w:rFonts w:hint="eastAsia" w:ascii="Calibri" w:hAnsi="Calibri" w:eastAsia="宋体"/>
          <w:color w:val="auto"/>
          <w:highlight w:val="none"/>
        </w:rPr>
        <w:t>最小值表（mm）</w:t>
      </w:r>
    </w:p>
    <w:tbl>
      <w:tblPr>
        <w:tblStyle w:val="1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80"/>
        <w:gridCol w:w="2276"/>
        <w:gridCol w:w="2557"/>
        <w:gridCol w:w="2558"/>
      </w:tblGrid>
      <w:tr w14:paraId="7AB2C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9" w:type="pct"/>
            <w:vAlign w:val="center"/>
          </w:tcPr>
          <w:p w14:paraId="093B7645">
            <w:pPr>
              <w:pStyle w:val="35"/>
              <w:rPr>
                <w:rFonts w:ascii="宋体" w:hAnsi="宋体" w:eastAsiaTheme="minorEastAsia"/>
                <w:color w:val="auto"/>
                <w:sz w:val="21"/>
                <w:highlight w:val="none"/>
              </w:rPr>
            </w:pPr>
            <w:r>
              <w:rPr>
                <w:rFonts w:hint="default" w:ascii="宋体" w:hAnsi="宋体" w:eastAsiaTheme="minorEastAsia"/>
                <w:color w:val="auto"/>
                <w:sz w:val="21"/>
                <w:highlight w:val="none"/>
              </w:rPr>
              <w:t>入廊管道公称管径</w:t>
            </w:r>
          </w:p>
        </w:tc>
        <w:tc>
          <w:tcPr>
            <w:tcW w:w="2276" w:type="dxa"/>
            <w:vAlign w:val="center"/>
          </w:tcPr>
          <w:p w14:paraId="4934E28C">
            <w:pPr>
              <w:pStyle w:val="35"/>
              <w:rPr>
                <w:rFonts w:ascii="宋体" w:hAnsi="宋体" w:eastAsiaTheme="minorEastAsia"/>
                <w:color w:val="auto"/>
                <w:sz w:val="21"/>
                <w:highlight w:val="none"/>
              </w:rPr>
            </w:pPr>
            <w:r>
              <w:rPr>
                <w:rFonts w:hint="default" w:ascii="宋体" w:hAnsi="宋体" w:eastAsiaTheme="minorEastAsia"/>
                <w:color w:val="auto"/>
                <w:sz w:val="21"/>
                <w:highlight w:val="none"/>
              </w:rPr>
              <w:t>入廊管道与内墙净距</w:t>
            </w:r>
          </w:p>
        </w:tc>
        <w:tc>
          <w:tcPr>
            <w:tcW w:w="2557" w:type="dxa"/>
            <w:vAlign w:val="center"/>
          </w:tcPr>
          <w:p w14:paraId="63BF1814">
            <w:pPr>
              <w:pStyle w:val="35"/>
              <w:rPr>
                <w:rFonts w:hint="default" w:ascii="宋体" w:hAnsi="宋体" w:eastAsiaTheme="minorEastAsia"/>
                <w:color w:val="auto"/>
                <w:sz w:val="21"/>
                <w:highlight w:val="none"/>
              </w:rPr>
            </w:pPr>
            <w:r>
              <w:rPr>
                <w:rFonts w:hint="default" w:ascii="宋体" w:hAnsi="宋体" w:eastAsiaTheme="minorEastAsia"/>
                <w:color w:val="auto"/>
                <w:sz w:val="21"/>
                <w:highlight w:val="none"/>
              </w:rPr>
              <w:t>入廊管道</w:t>
            </w:r>
          </w:p>
          <w:p w14:paraId="20C1A9C2">
            <w:pPr>
              <w:pStyle w:val="35"/>
              <w:rPr>
                <w:rFonts w:ascii="宋体" w:hAnsi="宋体" w:eastAsiaTheme="minorEastAsia"/>
                <w:color w:val="auto"/>
                <w:sz w:val="21"/>
                <w:highlight w:val="none"/>
              </w:rPr>
            </w:pPr>
            <w:r>
              <w:rPr>
                <w:rFonts w:hint="default" w:ascii="宋体" w:hAnsi="宋体" w:eastAsiaTheme="minorEastAsia"/>
                <w:color w:val="auto"/>
                <w:sz w:val="21"/>
                <w:highlight w:val="none"/>
              </w:rPr>
              <w:t>与上层支架净距</w:t>
            </w:r>
          </w:p>
        </w:tc>
        <w:tc>
          <w:tcPr>
            <w:tcW w:w="2558" w:type="dxa"/>
            <w:vAlign w:val="center"/>
          </w:tcPr>
          <w:p w14:paraId="409A4E18">
            <w:pPr>
              <w:pStyle w:val="35"/>
              <w:rPr>
                <w:rFonts w:ascii="宋体" w:hAnsi="宋体" w:eastAsiaTheme="minorEastAsia"/>
                <w:color w:val="auto"/>
                <w:sz w:val="21"/>
                <w:highlight w:val="none"/>
              </w:rPr>
            </w:pPr>
            <w:r>
              <w:rPr>
                <w:rFonts w:ascii="宋体" w:hAnsi="宋体" w:eastAsiaTheme="minorEastAsia"/>
                <w:color w:val="auto"/>
                <w:sz w:val="21"/>
                <w:highlight w:val="none"/>
              </w:rPr>
              <w:t>支架</w:t>
            </w:r>
            <w:r>
              <w:rPr>
                <w:rFonts w:hint="default" w:ascii="宋体" w:hAnsi="宋体" w:eastAsiaTheme="minorEastAsia"/>
                <w:color w:val="auto"/>
                <w:sz w:val="21"/>
                <w:highlight w:val="none"/>
              </w:rPr>
              <w:t>、支墩宽度</w:t>
            </w:r>
          </w:p>
        </w:tc>
      </w:tr>
      <w:tr w14:paraId="022DE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39" w:type="pct"/>
            <w:vAlign w:val="center"/>
          </w:tcPr>
          <w:p w14:paraId="37A2692C">
            <w:pPr>
              <w:pStyle w:val="35"/>
              <w:rPr>
                <w:rFonts w:asciiTheme="minorEastAsia" w:hAnsiTheme="minorEastAsia" w:eastAsiaTheme="minorEastAsia"/>
                <w:color w:val="auto"/>
                <w:sz w:val="21"/>
                <w:highlight w:val="none"/>
              </w:rPr>
            </w:pPr>
            <w:r>
              <w:rPr>
                <w:rFonts w:asciiTheme="minorEastAsia" w:hAnsiTheme="minorEastAsia" w:eastAsiaTheme="minorEastAsia"/>
                <w:color w:val="auto"/>
                <w:sz w:val="21"/>
                <w:highlight w:val="none"/>
              </w:rPr>
              <w:t>DN100</w:t>
            </w:r>
          </w:p>
        </w:tc>
        <w:tc>
          <w:tcPr>
            <w:tcW w:w="2276" w:type="dxa"/>
            <w:vAlign w:val="center"/>
          </w:tcPr>
          <w:p w14:paraId="6CA9A19C">
            <w:pPr>
              <w:pStyle w:val="35"/>
              <w:rPr>
                <w:rFonts w:asciiTheme="minorEastAsia" w:hAnsiTheme="minorEastAsia" w:eastAsiaTheme="minorEastAsia"/>
                <w:color w:val="auto"/>
                <w:sz w:val="21"/>
                <w:highlight w:val="none"/>
              </w:rPr>
            </w:pPr>
            <w:r>
              <w:rPr>
                <w:rFonts w:asciiTheme="minorEastAsia" w:hAnsiTheme="minorEastAsia" w:eastAsiaTheme="minorEastAsia"/>
                <w:color w:val="auto"/>
                <w:sz w:val="21"/>
                <w:highlight w:val="none"/>
              </w:rPr>
              <w:t>200</w:t>
            </w:r>
          </w:p>
        </w:tc>
        <w:tc>
          <w:tcPr>
            <w:tcW w:w="2557" w:type="dxa"/>
            <w:vAlign w:val="center"/>
          </w:tcPr>
          <w:p w14:paraId="42A9DBB4">
            <w:pPr>
              <w:pStyle w:val="35"/>
              <w:rPr>
                <w:rFonts w:asciiTheme="minorEastAsia" w:hAnsiTheme="minorEastAsia" w:eastAsiaTheme="minorEastAsia"/>
                <w:color w:val="auto"/>
                <w:sz w:val="21"/>
                <w:highlight w:val="none"/>
              </w:rPr>
            </w:pPr>
            <w:r>
              <w:rPr>
                <w:rFonts w:hint="eastAsia" w:asciiTheme="minorEastAsia" w:hAnsiTheme="minorEastAsia" w:eastAsiaTheme="minorEastAsia"/>
                <w:color w:val="auto"/>
                <w:sz w:val="21"/>
                <w:highlight w:val="none"/>
              </w:rPr>
              <w:t>200</w:t>
            </w:r>
          </w:p>
        </w:tc>
        <w:tc>
          <w:tcPr>
            <w:tcW w:w="2558" w:type="dxa"/>
            <w:vAlign w:val="center"/>
          </w:tcPr>
          <w:p w14:paraId="095E4FF3">
            <w:pPr>
              <w:pStyle w:val="35"/>
              <w:rPr>
                <w:rFonts w:asciiTheme="minorEastAsia" w:hAnsiTheme="minorEastAsia" w:eastAsiaTheme="minorEastAsia"/>
                <w:color w:val="auto"/>
                <w:sz w:val="21"/>
                <w:highlight w:val="none"/>
              </w:rPr>
            </w:pPr>
            <w:r>
              <w:rPr>
                <w:rFonts w:asciiTheme="minorEastAsia" w:hAnsiTheme="minorEastAsia" w:eastAsiaTheme="minorEastAsia"/>
                <w:color w:val="auto"/>
                <w:sz w:val="21"/>
                <w:highlight w:val="none"/>
              </w:rPr>
              <w:t>350</w:t>
            </w:r>
          </w:p>
        </w:tc>
      </w:tr>
      <w:tr w14:paraId="412B6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39" w:type="pct"/>
            <w:vAlign w:val="center"/>
          </w:tcPr>
          <w:p w14:paraId="355D4EE1">
            <w:pPr>
              <w:pStyle w:val="35"/>
              <w:rPr>
                <w:rFonts w:asciiTheme="minorEastAsia" w:hAnsiTheme="minorEastAsia" w:eastAsiaTheme="minorEastAsia"/>
                <w:color w:val="auto"/>
                <w:sz w:val="21"/>
                <w:highlight w:val="none"/>
              </w:rPr>
            </w:pPr>
            <w:r>
              <w:rPr>
                <w:rFonts w:asciiTheme="minorEastAsia" w:hAnsiTheme="minorEastAsia" w:eastAsiaTheme="minorEastAsia"/>
                <w:color w:val="auto"/>
                <w:sz w:val="21"/>
                <w:highlight w:val="none"/>
              </w:rPr>
              <w:t>DN150</w:t>
            </w:r>
          </w:p>
        </w:tc>
        <w:tc>
          <w:tcPr>
            <w:tcW w:w="2276" w:type="dxa"/>
            <w:vAlign w:val="center"/>
          </w:tcPr>
          <w:p w14:paraId="57A7CD47">
            <w:pPr>
              <w:pStyle w:val="35"/>
              <w:rPr>
                <w:rFonts w:asciiTheme="minorEastAsia" w:hAnsiTheme="minorEastAsia" w:eastAsiaTheme="minorEastAsia"/>
                <w:color w:val="auto"/>
                <w:sz w:val="21"/>
                <w:highlight w:val="none"/>
              </w:rPr>
            </w:pPr>
            <w:r>
              <w:rPr>
                <w:rFonts w:asciiTheme="minorEastAsia" w:hAnsiTheme="minorEastAsia" w:eastAsiaTheme="minorEastAsia"/>
                <w:color w:val="auto"/>
                <w:sz w:val="21"/>
                <w:highlight w:val="none"/>
              </w:rPr>
              <w:t>200</w:t>
            </w:r>
          </w:p>
        </w:tc>
        <w:tc>
          <w:tcPr>
            <w:tcW w:w="2557" w:type="dxa"/>
            <w:vAlign w:val="center"/>
          </w:tcPr>
          <w:p w14:paraId="5B7B0ED5">
            <w:pPr>
              <w:pStyle w:val="35"/>
              <w:rPr>
                <w:rFonts w:asciiTheme="minorEastAsia" w:hAnsiTheme="minorEastAsia" w:eastAsiaTheme="minorEastAsia"/>
                <w:color w:val="auto"/>
                <w:sz w:val="21"/>
                <w:highlight w:val="none"/>
              </w:rPr>
            </w:pPr>
            <w:r>
              <w:rPr>
                <w:rFonts w:hint="eastAsia" w:asciiTheme="minorEastAsia" w:hAnsiTheme="minorEastAsia" w:eastAsiaTheme="minorEastAsia"/>
                <w:color w:val="auto"/>
                <w:sz w:val="21"/>
                <w:highlight w:val="none"/>
              </w:rPr>
              <w:t>200</w:t>
            </w:r>
          </w:p>
        </w:tc>
        <w:tc>
          <w:tcPr>
            <w:tcW w:w="2558" w:type="dxa"/>
            <w:vAlign w:val="center"/>
          </w:tcPr>
          <w:p w14:paraId="1AF4ECC1">
            <w:pPr>
              <w:pStyle w:val="35"/>
              <w:rPr>
                <w:rFonts w:asciiTheme="minorEastAsia" w:hAnsiTheme="minorEastAsia" w:eastAsiaTheme="minorEastAsia"/>
                <w:color w:val="auto"/>
                <w:sz w:val="21"/>
                <w:highlight w:val="none"/>
              </w:rPr>
            </w:pPr>
            <w:r>
              <w:rPr>
                <w:rFonts w:asciiTheme="minorEastAsia" w:hAnsiTheme="minorEastAsia" w:eastAsiaTheme="minorEastAsia"/>
                <w:color w:val="auto"/>
                <w:sz w:val="21"/>
                <w:highlight w:val="none"/>
              </w:rPr>
              <w:t>400</w:t>
            </w:r>
          </w:p>
        </w:tc>
      </w:tr>
      <w:tr w14:paraId="44EC7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39" w:type="pct"/>
            <w:vAlign w:val="center"/>
          </w:tcPr>
          <w:p w14:paraId="3911CE42">
            <w:pPr>
              <w:pStyle w:val="35"/>
              <w:rPr>
                <w:rFonts w:asciiTheme="minorEastAsia" w:hAnsiTheme="minorEastAsia" w:eastAsiaTheme="minorEastAsia"/>
                <w:color w:val="auto"/>
                <w:sz w:val="21"/>
                <w:highlight w:val="none"/>
              </w:rPr>
            </w:pPr>
            <w:r>
              <w:rPr>
                <w:rFonts w:asciiTheme="minorEastAsia" w:hAnsiTheme="minorEastAsia" w:eastAsiaTheme="minorEastAsia"/>
                <w:color w:val="auto"/>
                <w:sz w:val="21"/>
                <w:highlight w:val="none"/>
              </w:rPr>
              <w:t>DN200</w:t>
            </w:r>
          </w:p>
        </w:tc>
        <w:tc>
          <w:tcPr>
            <w:tcW w:w="2276" w:type="dxa"/>
            <w:vAlign w:val="center"/>
          </w:tcPr>
          <w:p w14:paraId="7B229323">
            <w:pPr>
              <w:pStyle w:val="35"/>
              <w:rPr>
                <w:rFonts w:asciiTheme="minorEastAsia" w:hAnsiTheme="minorEastAsia" w:eastAsiaTheme="minorEastAsia"/>
                <w:color w:val="auto"/>
                <w:sz w:val="21"/>
                <w:highlight w:val="none"/>
              </w:rPr>
            </w:pPr>
            <w:r>
              <w:rPr>
                <w:rFonts w:asciiTheme="minorEastAsia" w:hAnsiTheme="minorEastAsia" w:eastAsiaTheme="minorEastAsia"/>
                <w:color w:val="auto"/>
                <w:sz w:val="21"/>
                <w:highlight w:val="none"/>
              </w:rPr>
              <w:t>200</w:t>
            </w:r>
          </w:p>
        </w:tc>
        <w:tc>
          <w:tcPr>
            <w:tcW w:w="2557" w:type="dxa"/>
            <w:vAlign w:val="center"/>
          </w:tcPr>
          <w:p w14:paraId="7873ABC2">
            <w:pPr>
              <w:pStyle w:val="35"/>
              <w:rPr>
                <w:rFonts w:asciiTheme="minorEastAsia" w:hAnsiTheme="minorEastAsia" w:eastAsiaTheme="minorEastAsia"/>
                <w:color w:val="auto"/>
                <w:sz w:val="21"/>
                <w:highlight w:val="none"/>
              </w:rPr>
            </w:pPr>
            <w:r>
              <w:rPr>
                <w:rFonts w:hint="eastAsia" w:asciiTheme="minorEastAsia" w:hAnsiTheme="minorEastAsia" w:eastAsiaTheme="minorEastAsia"/>
                <w:color w:val="auto"/>
                <w:sz w:val="21"/>
                <w:highlight w:val="none"/>
              </w:rPr>
              <w:t>200</w:t>
            </w:r>
          </w:p>
        </w:tc>
        <w:tc>
          <w:tcPr>
            <w:tcW w:w="2558" w:type="dxa"/>
            <w:vAlign w:val="center"/>
          </w:tcPr>
          <w:p w14:paraId="08913009">
            <w:pPr>
              <w:pStyle w:val="35"/>
              <w:rPr>
                <w:rFonts w:asciiTheme="minorEastAsia" w:hAnsiTheme="minorEastAsia" w:eastAsiaTheme="minorEastAsia"/>
                <w:color w:val="auto"/>
                <w:sz w:val="21"/>
                <w:highlight w:val="none"/>
              </w:rPr>
            </w:pPr>
            <w:r>
              <w:rPr>
                <w:rFonts w:asciiTheme="minorEastAsia" w:hAnsiTheme="minorEastAsia" w:eastAsiaTheme="minorEastAsia"/>
                <w:color w:val="auto"/>
                <w:sz w:val="21"/>
                <w:highlight w:val="none"/>
              </w:rPr>
              <w:t>450</w:t>
            </w:r>
          </w:p>
        </w:tc>
      </w:tr>
      <w:tr w14:paraId="26620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39" w:type="pct"/>
            <w:vAlign w:val="center"/>
          </w:tcPr>
          <w:p w14:paraId="3E49CAC4">
            <w:pPr>
              <w:pStyle w:val="35"/>
              <w:rPr>
                <w:rFonts w:asciiTheme="minorEastAsia" w:hAnsiTheme="minorEastAsia" w:eastAsiaTheme="minorEastAsia"/>
                <w:color w:val="auto"/>
                <w:sz w:val="21"/>
                <w:highlight w:val="none"/>
              </w:rPr>
            </w:pPr>
            <w:r>
              <w:rPr>
                <w:rFonts w:asciiTheme="minorEastAsia" w:hAnsiTheme="minorEastAsia" w:eastAsiaTheme="minorEastAsia"/>
                <w:color w:val="auto"/>
                <w:sz w:val="21"/>
                <w:highlight w:val="none"/>
              </w:rPr>
              <w:t>DN250</w:t>
            </w:r>
          </w:p>
        </w:tc>
        <w:tc>
          <w:tcPr>
            <w:tcW w:w="2276" w:type="dxa"/>
            <w:vAlign w:val="center"/>
          </w:tcPr>
          <w:p w14:paraId="2FF4A96E">
            <w:pPr>
              <w:pStyle w:val="35"/>
              <w:rPr>
                <w:rFonts w:asciiTheme="minorEastAsia" w:hAnsiTheme="minorEastAsia" w:eastAsiaTheme="minorEastAsia"/>
                <w:color w:val="auto"/>
                <w:sz w:val="21"/>
                <w:highlight w:val="none"/>
              </w:rPr>
            </w:pPr>
            <w:r>
              <w:rPr>
                <w:rFonts w:asciiTheme="minorEastAsia" w:hAnsiTheme="minorEastAsia" w:eastAsiaTheme="minorEastAsia"/>
                <w:color w:val="auto"/>
                <w:sz w:val="21"/>
                <w:highlight w:val="none"/>
              </w:rPr>
              <w:t>200</w:t>
            </w:r>
          </w:p>
        </w:tc>
        <w:tc>
          <w:tcPr>
            <w:tcW w:w="2557" w:type="dxa"/>
            <w:vAlign w:val="center"/>
          </w:tcPr>
          <w:p w14:paraId="5814ADD6">
            <w:pPr>
              <w:pStyle w:val="35"/>
              <w:rPr>
                <w:rFonts w:asciiTheme="minorEastAsia" w:hAnsiTheme="minorEastAsia" w:eastAsiaTheme="minorEastAsia"/>
                <w:color w:val="auto"/>
                <w:sz w:val="21"/>
                <w:highlight w:val="none"/>
              </w:rPr>
            </w:pPr>
            <w:r>
              <w:rPr>
                <w:rFonts w:hint="eastAsia" w:asciiTheme="minorEastAsia" w:hAnsiTheme="minorEastAsia" w:eastAsiaTheme="minorEastAsia"/>
                <w:color w:val="auto"/>
                <w:sz w:val="21"/>
                <w:highlight w:val="none"/>
              </w:rPr>
              <w:t>200</w:t>
            </w:r>
          </w:p>
        </w:tc>
        <w:tc>
          <w:tcPr>
            <w:tcW w:w="2558" w:type="dxa"/>
            <w:vAlign w:val="center"/>
          </w:tcPr>
          <w:p w14:paraId="2C5DD285">
            <w:pPr>
              <w:pStyle w:val="35"/>
              <w:rPr>
                <w:rFonts w:asciiTheme="minorEastAsia" w:hAnsiTheme="minorEastAsia" w:eastAsiaTheme="minorEastAsia"/>
                <w:color w:val="auto"/>
                <w:sz w:val="21"/>
                <w:highlight w:val="none"/>
              </w:rPr>
            </w:pPr>
            <w:r>
              <w:rPr>
                <w:rFonts w:asciiTheme="minorEastAsia" w:hAnsiTheme="minorEastAsia" w:eastAsiaTheme="minorEastAsia"/>
                <w:color w:val="auto"/>
                <w:sz w:val="21"/>
                <w:highlight w:val="none"/>
              </w:rPr>
              <w:t>500</w:t>
            </w:r>
          </w:p>
        </w:tc>
      </w:tr>
      <w:tr w14:paraId="7B30E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39" w:type="pct"/>
            <w:vAlign w:val="center"/>
          </w:tcPr>
          <w:p w14:paraId="18E9D687">
            <w:pPr>
              <w:pStyle w:val="35"/>
              <w:rPr>
                <w:rFonts w:asciiTheme="minorEastAsia" w:hAnsiTheme="minorEastAsia" w:eastAsiaTheme="minorEastAsia"/>
                <w:color w:val="auto"/>
                <w:sz w:val="21"/>
                <w:highlight w:val="none"/>
              </w:rPr>
            </w:pPr>
            <w:r>
              <w:rPr>
                <w:rFonts w:asciiTheme="minorEastAsia" w:hAnsiTheme="minorEastAsia" w:eastAsiaTheme="minorEastAsia"/>
                <w:color w:val="auto"/>
                <w:sz w:val="21"/>
                <w:highlight w:val="none"/>
              </w:rPr>
              <w:t>DN300</w:t>
            </w:r>
          </w:p>
        </w:tc>
        <w:tc>
          <w:tcPr>
            <w:tcW w:w="2276" w:type="dxa"/>
            <w:vAlign w:val="center"/>
          </w:tcPr>
          <w:p w14:paraId="5DD7C039">
            <w:pPr>
              <w:pStyle w:val="35"/>
              <w:rPr>
                <w:rFonts w:asciiTheme="minorEastAsia" w:hAnsiTheme="minorEastAsia" w:eastAsiaTheme="minorEastAsia"/>
                <w:color w:val="auto"/>
                <w:sz w:val="21"/>
                <w:highlight w:val="none"/>
              </w:rPr>
            </w:pPr>
            <w:r>
              <w:rPr>
                <w:rFonts w:asciiTheme="minorEastAsia" w:hAnsiTheme="minorEastAsia" w:eastAsiaTheme="minorEastAsia"/>
                <w:color w:val="auto"/>
                <w:sz w:val="21"/>
                <w:highlight w:val="none"/>
              </w:rPr>
              <w:t>200</w:t>
            </w:r>
          </w:p>
        </w:tc>
        <w:tc>
          <w:tcPr>
            <w:tcW w:w="2557" w:type="dxa"/>
            <w:vAlign w:val="center"/>
          </w:tcPr>
          <w:p w14:paraId="38F639FA">
            <w:pPr>
              <w:pStyle w:val="35"/>
              <w:rPr>
                <w:rFonts w:asciiTheme="minorEastAsia" w:hAnsiTheme="minorEastAsia" w:eastAsiaTheme="minorEastAsia"/>
                <w:color w:val="auto"/>
                <w:sz w:val="21"/>
                <w:highlight w:val="none"/>
              </w:rPr>
            </w:pPr>
            <w:r>
              <w:rPr>
                <w:rFonts w:hint="eastAsia" w:asciiTheme="minorEastAsia" w:hAnsiTheme="minorEastAsia" w:eastAsiaTheme="minorEastAsia"/>
                <w:color w:val="auto"/>
                <w:sz w:val="21"/>
                <w:highlight w:val="none"/>
              </w:rPr>
              <w:t>200</w:t>
            </w:r>
          </w:p>
        </w:tc>
        <w:tc>
          <w:tcPr>
            <w:tcW w:w="2558" w:type="dxa"/>
            <w:vAlign w:val="center"/>
          </w:tcPr>
          <w:p w14:paraId="591AFB8B">
            <w:pPr>
              <w:pStyle w:val="35"/>
              <w:rPr>
                <w:rFonts w:asciiTheme="minorEastAsia" w:hAnsiTheme="minorEastAsia" w:eastAsiaTheme="minorEastAsia"/>
                <w:color w:val="auto"/>
                <w:sz w:val="21"/>
                <w:highlight w:val="none"/>
              </w:rPr>
            </w:pPr>
            <w:r>
              <w:rPr>
                <w:rFonts w:asciiTheme="minorEastAsia" w:hAnsiTheme="minorEastAsia" w:eastAsiaTheme="minorEastAsia"/>
                <w:color w:val="auto"/>
                <w:sz w:val="21"/>
                <w:highlight w:val="none"/>
              </w:rPr>
              <w:t>550</w:t>
            </w:r>
          </w:p>
        </w:tc>
      </w:tr>
      <w:tr w14:paraId="0F843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39" w:type="pct"/>
            <w:vAlign w:val="center"/>
          </w:tcPr>
          <w:p w14:paraId="1E2EEC54">
            <w:pPr>
              <w:pStyle w:val="35"/>
              <w:rPr>
                <w:rFonts w:asciiTheme="minorEastAsia" w:hAnsiTheme="minorEastAsia" w:eastAsiaTheme="minorEastAsia"/>
                <w:color w:val="auto"/>
                <w:sz w:val="21"/>
                <w:highlight w:val="none"/>
              </w:rPr>
            </w:pPr>
            <w:r>
              <w:rPr>
                <w:rFonts w:asciiTheme="minorEastAsia" w:hAnsiTheme="minorEastAsia" w:eastAsiaTheme="minorEastAsia"/>
                <w:color w:val="auto"/>
                <w:sz w:val="21"/>
                <w:highlight w:val="none"/>
              </w:rPr>
              <w:t>DN3</w:t>
            </w:r>
            <w:r>
              <w:rPr>
                <w:rFonts w:hint="eastAsia" w:asciiTheme="minorEastAsia" w:hAnsiTheme="minorEastAsia" w:eastAsiaTheme="minorEastAsia"/>
                <w:color w:val="auto"/>
                <w:sz w:val="21"/>
                <w:highlight w:val="none"/>
              </w:rPr>
              <w:t>50</w:t>
            </w:r>
          </w:p>
        </w:tc>
        <w:tc>
          <w:tcPr>
            <w:tcW w:w="2276" w:type="dxa"/>
            <w:vAlign w:val="center"/>
          </w:tcPr>
          <w:p w14:paraId="092D14AE">
            <w:pPr>
              <w:pStyle w:val="35"/>
              <w:rPr>
                <w:rFonts w:asciiTheme="minorEastAsia" w:hAnsiTheme="minorEastAsia" w:eastAsiaTheme="minorEastAsia"/>
                <w:color w:val="auto"/>
                <w:sz w:val="21"/>
                <w:highlight w:val="none"/>
              </w:rPr>
            </w:pPr>
            <w:r>
              <w:rPr>
                <w:rFonts w:hint="eastAsia" w:asciiTheme="minorEastAsia" w:hAnsiTheme="minorEastAsia" w:eastAsiaTheme="minorEastAsia"/>
                <w:color w:val="auto"/>
                <w:sz w:val="21"/>
                <w:highlight w:val="none"/>
              </w:rPr>
              <w:t>250</w:t>
            </w:r>
          </w:p>
        </w:tc>
        <w:tc>
          <w:tcPr>
            <w:tcW w:w="2557" w:type="dxa"/>
            <w:vAlign w:val="center"/>
          </w:tcPr>
          <w:p w14:paraId="217F1999">
            <w:pPr>
              <w:pStyle w:val="35"/>
              <w:rPr>
                <w:rFonts w:asciiTheme="minorEastAsia" w:hAnsiTheme="minorEastAsia" w:eastAsiaTheme="minorEastAsia"/>
                <w:color w:val="auto"/>
                <w:sz w:val="21"/>
                <w:highlight w:val="none"/>
              </w:rPr>
            </w:pPr>
            <w:r>
              <w:rPr>
                <w:rFonts w:hint="eastAsia" w:asciiTheme="minorEastAsia" w:hAnsiTheme="minorEastAsia" w:eastAsiaTheme="minorEastAsia"/>
                <w:color w:val="auto"/>
                <w:sz w:val="21"/>
                <w:highlight w:val="none"/>
              </w:rPr>
              <w:t>250</w:t>
            </w:r>
          </w:p>
        </w:tc>
        <w:tc>
          <w:tcPr>
            <w:tcW w:w="2558" w:type="dxa"/>
            <w:vAlign w:val="center"/>
          </w:tcPr>
          <w:p w14:paraId="2405D9E0">
            <w:pPr>
              <w:pStyle w:val="35"/>
              <w:rPr>
                <w:rFonts w:asciiTheme="minorEastAsia" w:hAnsiTheme="minorEastAsia" w:eastAsiaTheme="minorEastAsia"/>
                <w:color w:val="auto"/>
                <w:sz w:val="21"/>
                <w:highlight w:val="none"/>
              </w:rPr>
            </w:pPr>
            <w:r>
              <w:rPr>
                <w:rFonts w:asciiTheme="minorEastAsia" w:hAnsiTheme="minorEastAsia" w:eastAsiaTheme="minorEastAsia"/>
                <w:color w:val="auto"/>
                <w:sz w:val="21"/>
                <w:highlight w:val="none"/>
              </w:rPr>
              <w:t>550</w:t>
            </w:r>
          </w:p>
        </w:tc>
      </w:tr>
      <w:tr w14:paraId="2EDAA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39" w:type="pct"/>
            <w:vAlign w:val="center"/>
          </w:tcPr>
          <w:p w14:paraId="5D644963">
            <w:pPr>
              <w:pStyle w:val="35"/>
              <w:rPr>
                <w:rFonts w:asciiTheme="minorEastAsia" w:hAnsiTheme="minorEastAsia" w:eastAsiaTheme="minorEastAsia"/>
                <w:color w:val="auto"/>
                <w:sz w:val="21"/>
                <w:highlight w:val="none"/>
              </w:rPr>
            </w:pPr>
            <w:r>
              <w:rPr>
                <w:rFonts w:asciiTheme="minorEastAsia" w:hAnsiTheme="minorEastAsia" w:eastAsiaTheme="minorEastAsia"/>
                <w:color w:val="auto"/>
                <w:sz w:val="21"/>
                <w:highlight w:val="none"/>
              </w:rPr>
              <w:t>DN</w:t>
            </w:r>
            <w:r>
              <w:rPr>
                <w:rFonts w:hint="eastAsia" w:asciiTheme="minorEastAsia" w:hAnsiTheme="minorEastAsia" w:eastAsiaTheme="minorEastAsia"/>
                <w:color w:val="auto"/>
                <w:sz w:val="21"/>
                <w:highlight w:val="none"/>
              </w:rPr>
              <w:t>400</w:t>
            </w:r>
          </w:p>
        </w:tc>
        <w:tc>
          <w:tcPr>
            <w:tcW w:w="2276" w:type="dxa"/>
            <w:vAlign w:val="center"/>
          </w:tcPr>
          <w:p w14:paraId="6B6042D0">
            <w:pPr>
              <w:pStyle w:val="35"/>
              <w:rPr>
                <w:rFonts w:asciiTheme="minorEastAsia" w:hAnsiTheme="minorEastAsia" w:eastAsiaTheme="minorEastAsia"/>
                <w:color w:val="auto"/>
                <w:sz w:val="21"/>
                <w:highlight w:val="none"/>
              </w:rPr>
            </w:pPr>
            <w:r>
              <w:rPr>
                <w:rFonts w:hint="eastAsia" w:asciiTheme="minorEastAsia" w:hAnsiTheme="minorEastAsia" w:eastAsiaTheme="minorEastAsia"/>
                <w:color w:val="auto"/>
                <w:sz w:val="21"/>
                <w:highlight w:val="none"/>
              </w:rPr>
              <w:t>300</w:t>
            </w:r>
          </w:p>
        </w:tc>
        <w:tc>
          <w:tcPr>
            <w:tcW w:w="2557" w:type="dxa"/>
            <w:vAlign w:val="center"/>
          </w:tcPr>
          <w:p w14:paraId="66F01C52">
            <w:pPr>
              <w:pStyle w:val="35"/>
              <w:rPr>
                <w:rFonts w:asciiTheme="minorEastAsia" w:hAnsiTheme="minorEastAsia" w:eastAsiaTheme="minorEastAsia"/>
                <w:color w:val="auto"/>
                <w:sz w:val="21"/>
                <w:highlight w:val="none"/>
              </w:rPr>
            </w:pPr>
            <w:r>
              <w:rPr>
                <w:rFonts w:hint="eastAsia" w:asciiTheme="minorEastAsia" w:hAnsiTheme="minorEastAsia" w:eastAsiaTheme="minorEastAsia"/>
                <w:color w:val="auto"/>
                <w:sz w:val="21"/>
                <w:highlight w:val="none"/>
              </w:rPr>
              <w:t>300</w:t>
            </w:r>
          </w:p>
        </w:tc>
        <w:tc>
          <w:tcPr>
            <w:tcW w:w="2558" w:type="dxa"/>
            <w:vAlign w:val="center"/>
          </w:tcPr>
          <w:p w14:paraId="247B723F">
            <w:pPr>
              <w:pStyle w:val="35"/>
              <w:rPr>
                <w:rFonts w:asciiTheme="minorEastAsia" w:hAnsiTheme="minorEastAsia" w:eastAsiaTheme="minorEastAsia"/>
                <w:color w:val="auto"/>
                <w:sz w:val="21"/>
                <w:highlight w:val="none"/>
              </w:rPr>
            </w:pPr>
            <w:r>
              <w:rPr>
                <w:rFonts w:hint="eastAsia" w:asciiTheme="minorEastAsia" w:hAnsiTheme="minorEastAsia" w:eastAsiaTheme="minorEastAsia"/>
                <w:color w:val="auto"/>
                <w:sz w:val="21"/>
                <w:highlight w:val="none"/>
              </w:rPr>
              <w:t>600</w:t>
            </w:r>
          </w:p>
        </w:tc>
      </w:tr>
      <w:tr w14:paraId="36A86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39" w:type="pct"/>
            <w:vAlign w:val="center"/>
          </w:tcPr>
          <w:p w14:paraId="15A208C6">
            <w:pPr>
              <w:pStyle w:val="35"/>
              <w:rPr>
                <w:rFonts w:asciiTheme="minorEastAsia" w:hAnsiTheme="minorEastAsia" w:eastAsiaTheme="minorEastAsia"/>
                <w:color w:val="auto"/>
                <w:sz w:val="21"/>
                <w:highlight w:val="none"/>
              </w:rPr>
            </w:pPr>
            <w:r>
              <w:rPr>
                <w:rFonts w:asciiTheme="minorEastAsia" w:hAnsiTheme="minorEastAsia" w:eastAsiaTheme="minorEastAsia"/>
                <w:color w:val="auto"/>
                <w:sz w:val="21"/>
                <w:highlight w:val="none"/>
              </w:rPr>
              <w:t>DN</w:t>
            </w:r>
            <w:r>
              <w:rPr>
                <w:rFonts w:hint="eastAsia" w:asciiTheme="minorEastAsia" w:hAnsiTheme="minorEastAsia" w:eastAsiaTheme="minorEastAsia"/>
                <w:color w:val="auto"/>
                <w:sz w:val="21"/>
                <w:highlight w:val="none"/>
              </w:rPr>
              <w:t>450</w:t>
            </w:r>
          </w:p>
        </w:tc>
        <w:tc>
          <w:tcPr>
            <w:tcW w:w="2276" w:type="dxa"/>
            <w:vAlign w:val="center"/>
          </w:tcPr>
          <w:p w14:paraId="04374F6D">
            <w:pPr>
              <w:pStyle w:val="35"/>
              <w:rPr>
                <w:rFonts w:asciiTheme="minorEastAsia" w:hAnsiTheme="minorEastAsia" w:eastAsiaTheme="minorEastAsia"/>
                <w:color w:val="auto"/>
                <w:sz w:val="21"/>
                <w:highlight w:val="none"/>
              </w:rPr>
            </w:pPr>
            <w:r>
              <w:rPr>
                <w:rFonts w:hint="eastAsia" w:asciiTheme="minorEastAsia" w:hAnsiTheme="minorEastAsia" w:eastAsiaTheme="minorEastAsia"/>
                <w:color w:val="auto"/>
                <w:sz w:val="21"/>
                <w:highlight w:val="none"/>
              </w:rPr>
              <w:t>300</w:t>
            </w:r>
          </w:p>
        </w:tc>
        <w:tc>
          <w:tcPr>
            <w:tcW w:w="2557" w:type="dxa"/>
            <w:vAlign w:val="center"/>
          </w:tcPr>
          <w:p w14:paraId="58EEC49D">
            <w:pPr>
              <w:pStyle w:val="35"/>
              <w:rPr>
                <w:rFonts w:asciiTheme="minorEastAsia" w:hAnsiTheme="minorEastAsia" w:eastAsiaTheme="minorEastAsia"/>
                <w:color w:val="auto"/>
                <w:sz w:val="21"/>
                <w:highlight w:val="none"/>
              </w:rPr>
            </w:pPr>
            <w:r>
              <w:rPr>
                <w:rFonts w:hint="eastAsia" w:asciiTheme="minorEastAsia" w:hAnsiTheme="minorEastAsia" w:eastAsiaTheme="minorEastAsia"/>
                <w:color w:val="auto"/>
                <w:sz w:val="21"/>
                <w:highlight w:val="none"/>
              </w:rPr>
              <w:t>400</w:t>
            </w:r>
          </w:p>
        </w:tc>
        <w:tc>
          <w:tcPr>
            <w:tcW w:w="2558" w:type="dxa"/>
            <w:vAlign w:val="center"/>
          </w:tcPr>
          <w:p w14:paraId="5AF9A7D4">
            <w:pPr>
              <w:pStyle w:val="35"/>
              <w:rPr>
                <w:rFonts w:asciiTheme="minorEastAsia" w:hAnsiTheme="minorEastAsia" w:eastAsiaTheme="minorEastAsia"/>
                <w:color w:val="auto"/>
                <w:sz w:val="21"/>
                <w:highlight w:val="none"/>
              </w:rPr>
            </w:pPr>
            <w:r>
              <w:rPr>
                <w:rFonts w:hint="eastAsia" w:asciiTheme="minorEastAsia" w:hAnsiTheme="minorEastAsia" w:eastAsiaTheme="minorEastAsia"/>
                <w:color w:val="auto"/>
                <w:sz w:val="21"/>
                <w:highlight w:val="none"/>
              </w:rPr>
              <w:t>650</w:t>
            </w:r>
          </w:p>
        </w:tc>
      </w:tr>
      <w:tr w14:paraId="4150E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39" w:type="pct"/>
            <w:vAlign w:val="center"/>
          </w:tcPr>
          <w:p w14:paraId="756A7715">
            <w:pPr>
              <w:pStyle w:val="35"/>
              <w:rPr>
                <w:rFonts w:asciiTheme="minorEastAsia" w:hAnsiTheme="minorEastAsia" w:eastAsiaTheme="minorEastAsia"/>
                <w:color w:val="auto"/>
                <w:sz w:val="21"/>
                <w:highlight w:val="none"/>
              </w:rPr>
            </w:pPr>
            <w:r>
              <w:rPr>
                <w:rFonts w:asciiTheme="minorEastAsia" w:hAnsiTheme="minorEastAsia" w:eastAsiaTheme="minorEastAsia"/>
                <w:color w:val="auto"/>
                <w:sz w:val="21"/>
                <w:highlight w:val="none"/>
              </w:rPr>
              <w:t>DN</w:t>
            </w:r>
            <w:r>
              <w:rPr>
                <w:rFonts w:hint="eastAsia" w:asciiTheme="minorEastAsia" w:hAnsiTheme="minorEastAsia" w:eastAsiaTheme="minorEastAsia"/>
                <w:color w:val="auto"/>
                <w:sz w:val="21"/>
                <w:highlight w:val="none"/>
              </w:rPr>
              <w:t>500</w:t>
            </w:r>
          </w:p>
        </w:tc>
        <w:tc>
          <w:tcPr>
            <w:tcW w:w="2276" w:type="dxa"/>
            <w:vAlign w:val="center"/>
          </w:tcPr>
          <w:p w14:paraId="10676747">
            <w:pPr>
              <w:pStyle w:val="35"/>
              <w:rPr>
                <w:rFonts w:asciiTheme="minorEastAsia" w:hAnsiTheme="minorEastAsia" w:eastAsiaTheme="minorEastAsia"/>
                <w:color w:val="auto"/>
                <w:sz w:val="21"/>
                <w:highlight w:val="none"/>
              </w:rPr>
            </w:pPr>
            <w:r>
              <w:rPr>
                <w:rFonts w:hint="eastAsia" w:asciiTheme="minorEastAsia" w:hAnsiTheme="minorEastAsia" w:eastAsiaTheme="minorEastAsia"/>
                <w:color w:val="auto"/>
                <w:sz w:val="21"/>
                <w:highlight w:val="none"/>
              </w:rPr>
              <w:t>300</w:t>
            </w:r>
          </w:p>
        </w:tc>
        <w:tc>
          <w:tcPr>
            <w:tcW w:w="2557" w:type="dxa"/>
            <w:vAlign w:val="center"/>
          </w:tcPr>
          <w:p w14:paraId="69F1D200">
            <w:pPr>
              <w:pStyle w:val="35"/>
              <w:rPr>
                <w:rFonts w:asciiTheme="minorEastAsia" w:hAnsiTheme="minorEastAsia" w:eastAsiaTheme="minorEastAsia"/>
                <w:color w:val="auto"/>
                <w:sz w:val="21"/>
                <w:highlight w:val="none"/>
              </w:rPr>
            </w:pPr>
            <w:r>
              <w:rPr>
                <w:rFonts w:hint="eastAsia" w:asciiTheme="minorEastAsia" w:hAnsiTheme="minorEastAsia" w:eastAsiaTheme="minorEastAsia"/>
                <w:color w:val="auto"/>
                <w:sz w:val="21"/>
                <w:highlight w:val="none"/>
              </w:rPr>
              <w:t>500</w:t>
            </w:r>
          </w:p>
        </w:tc>
        <w:tc>
          <w:tcPr>
            <w:tcW w:w="2558" w:type="dxa"/>
            <w:vAlign w:val="center"/>
          </w:tcPr>
          <w:p w14:paraId="7D124794">
            <w:pPr>
              <w:pStyle w:val="35"/>
              <w:rPr>
                <w:rFonts w:asciiTheme="minorEastAsia" w:hAnsiTheme="minorEastAsia" w:eastAsiaTheme="minorEastAsia"/>
                <w:color w:val="auto"/>
                <w:sz w:val="21"/>
                <w:highlight w:val="none"/>
              </w:rPr>
            </w:pPr>
            <w:r>
              <w:rPr>
                <w:rFonts w:hint="eastAsia" w:asciiTheme="minorEastAsia" w:hAnsiTheme="minorEastAsia" w:eastAsiaTheme="minorEastAsia"/>
                <w:color w:val="auto"/>
                <w:sz w:val="21"/>
                <w:highlight w:val="none"/>
              </w:rPr>
              <w:t>700</w:t>
            </w:r>
          </w:p>
        </w:tc>
      </w:tr>
    </w:tbl>
    <w:p w14:paraId="4F150469">
      <w:pPr>
        <w:rPr>
          <w:rFonts w:hint="eastAsia" w:ascii="Times New Roman" w:hAnsi="Times New Roman"/>
          <w:b w:val="0"/>
          <w:bCs w:val="0"/>
          <w:color w:val="auto"/>
          <w:highlight w:val="none"/>
        </w:rPr>
      </w:pPr>
      <w:r>
        <w:rPr>
          <w:rFonts w:hint="eastAsia" w:ascii="黑体" w:hAnsi="黑体" w:eastAsia="黑体" w:cs="黑体"/>
          <w:b/>
          <w:bCs/>
          <w:color w:val="auto"/>
          <w:highlight w:val="none"/>
          <w:lang w:eastAsia="zh-CN"/>
        </w:rPr>
        <w:t>【</w:t>
      </w:r>
      <w:r>
        <w:rPr>
          <w:rFonts w:hint="eastAsia" w:ascii="Times New Roman" w:hAnsi="Times New Roman"/>
          <w:b/>
          <w:bCs/>
          <w:color w:val="auto"/>
          <w:highlight w:val="none"/>
        </w:rPr>
        <w:t>条文说明：</w:t>
      </w:r>
      <w:r>
        <w:rPr>
          <w:rFonts w:hint="eastAsia" w:ascii="Times New Roman" w:hAnsi="Times New Roman"/>
          <w:b w:val="0"/>
          <w:bCs w:val="0"/>
          <w:color w:val="auto"/>
          <w:highlight w:val="none"/>
        </w:rPr>
        <w:t>本条主要规定正常段入廊压力流管道支架、支墩布置相关要求，入廊压力流管道附件宜集中布置于综合工作井中。正常段入廊压力管道布置宜以集约布置为主，表5.3.5中规定的数据</w:t>
      </w:r>
    </w:p>
    <w:p w14:paraId="72652155">
      <w:pPr>
        <w:rPr>
          <w:rFonts w:hint="eastAsia" w:ascii="黑体" w:hAnsi="黑体" w:eastAsia="黑体" w:cs="黑体"/>
          <w:b/>
          <w:bCs/>
          <w:color w:val="auto"/>
          <w:highlight w:val="none"/>
          <w:lang w:eastAsia="zh-CN"/>
        </w:rPr>
      </w:pPr>
      <w:r>
        <w:rPr>
          <w:rFonts w:hint="eastAsia" w:ascii="Times New Roman" w:hAnsi="Times New Roman"/>
          <w:color w:val="auto"/>
          <w:highlight w:val="none"/>
        </w:rPr>
        <w:t>主要以征询各入廊管线产权单位及相关部门设计、施工、运维的相关经验综合确定。</w:t>
      </w:r>
      <w:r>
        <w:rPr>
          <w:rFonts w:hint="eastAsia" w:ascii="黑体" w:hAnsi="黑体" w:eastAsia="黑体" w:cs="黑体"/>
          <w:b/>
          <w:bCs/>
          <w:color w:val="auto"/>
          <w:highlight w:val="none"/>
          <w:lang w:eastAsia="zh-CN"/>
        </w:rPr>
        <w:t>】</w:t>
      </w:r>
    </w:p>
    <w:p w14:paraId="5724B99A">
      <w:pPr>
        <w:rPr>
          <w:rFonts w:ascii="Times New Roman" w:hAnsi="Times New Roman"/>
          <w:color w:val="auto"/>
          <w:highlight w:val="none"/>
        </w:rPr>
      </w:pPr>
      <w:r>
        <w:rPr>
          <w:rFonts w:hint="eastAsia" w:ascii="黑体" w:hAnsi="黑体" w:eastAsia="黑体" w:cs="黑体"/>
          <w:b/>
          <w:bCs/>
          <w:color w:val="auto"/>
          <w:highlight w:val="none"/>
        </w:rPr>
        <w:t>5.3.6</w:t>
      </w:r>
      <w:r>
        <w:rPr>
          <w:rFonts w:ascii="黑体" w:hAnsi="黑体" w:eastAsia="黑体" w:cs="黑体"/>
          <w:b/>
          <w:bCs/>
          <w:color w:val="auto"/>
          <w:highlight w:val="none"/>
        </w:rPr>
        <w:t xml:space="preserve"> </w:t>
      </w:r>
      <w:r>
        <w:rPr>
          <w:rFonts w:hint="eastAsia" w:ascii="Times New Roman" w:hAnsi="Times New Roman"/>
          <w:color w:val="auto"/>
          <w:highlight w:val="none"/>
        </w:rPr>
        <w:t>小型综合管廊最下层线缆支架与小型综合管廊内底间距不宜小于150mm，管道支架与小型综合管廊内底间距不宜小于200mm，管道支墩与小型综合管廊内底间距不宜小于300mm。</w:t>
      </w:r>
    </w:p>
    <w:p w14:paraId="36F13764">
      <w:pPr>
        <w:rPr>
          <w:rFonts w:ascii="Times New Roman" w:hAnsi="Times New Roman"/>
          <w:color w:val="auto"/>
          <w:highlight w:val="none"/>
        </w:rPr>
      </w:pPr>
      <w:r>
        <w:rPr>
          <w:rFonts w:hint="eastAsia" w:ascii="Times New Roman" w:hAnsi="Times New Roman"/>
          <w:b/>
          <w:bCs/>
          <w:color w:val="auto"/>
          <w:highlight w:val="none"/>
        </w:rPr>
        <w:t>【条文说明：</w:t>
      </w:r>
      <w:r>
        <w:rPr>
          <w:rFonts w:hint="eastAsia" w:ascii="Times New Roman" w:hAnsi="Times New Roman"/>
          <w:color w:val="auto"/>
          <w:highlight w:val="none"/>
        </w:rPr>
        <w:t>本条参考《电力工程电缆设计标准》GB 50217-2018中5.5.3条规定，《城市电力电缆线路设计技术规定》DLT 5221-2016中5.6.3条规定，并征询管线产权单位及相关部门设计、施工、运维的相关经验综合确定。】</w:t>
      </w:r>
    </w:p>
    <w:p w14:paraId="5EE6C720">
      <w:pPr>
        <w:rPr>
          <w:rFonts w:hint="eastAsia" w:ascii="Times New Roman" w:hAnsi="Times New Roman"/>
          <w:color w:val="auto"/>
          <w:highlight w:val="none"/>
        </w:rPr>
      </w:pPr>
      <w:r>
        <w:rPr>
          <w:rFonts w:hint="eastAsia" w:ascii="黑体" w:hAnsi="黑体" w:eastAsia="黑体" w:cs="黑体"/>
          <w:b/>
          <w:bCs/>
          <w:color w:val="auto"/>
          <w:highlight w:val="none"/>
        </w:rPr>
        <w:t>5.3.7</w:t>
      </w:r>
      <w:r>
        <w:rPr>
          <w:rFonts w:hint="eastAsia" w:ascii="黑体" w:hAnsi="黑体" w:eastAsia="黑体" w:cs="黑体"/>
          <w:b/>
          <w:bCs/>
          <w:color w:val="auto"/>
          <w:highlight w:val="none"/>
          <w:lang w:val="en-US" w:eastAsia="zh-CN"/>
        </w:rPr>
        <w:t xml:space="preserve"> </w:t>
      </w:r>
      <w:r>
        <w:rPr>
          <w:rFonts w:hint="eastAsia" w:ascii="Times New Roman" w:hAnsi="Times New Roman"/>
          <w:color w:val="auto"/>
          <w:highlight w:val="none"/>
        </w:rPr>
        <w:t>小型综合管廊</w:t>
      </w:r>
      <w:r>
        <w:rPr>
          <w:rFonts w:hint="eastAsia" w:ascii="Times New Roman" w:hAnsi="Times New Roman"/>
          <w:color w:val="auto"/>
          <w:highlight w:val="none"/>
          <w:lang w:val="en-US" w:eastAsia="zh-CN"/>
        </w:rPr>
        <w:t>宜优先采用</w:t>
      </w:r>
      <w:r>
        <w:rPr>
          <w:rFonts w:hint="eastAsia" w:ascii="Times New Roman" w:hAnsi="Times New Roman"/>
          <w:color w:val="auto"/>
          <w:highlight w:val="none"/>
        </w:rPr>
        <w:t>预制</w:t>
      </w:r>
      <w:r>
        <w:rPr>
          <w:rFonts w:hint="eastAsia" w:ascii="Times New Roman" w:hAnsi="Times New Roman"/>
          <w:color w:val="auto"/>
          <w:highlight w:val="none"/>
          <w:lang w:val="en-US" w:eastAsia="zh-CN"/>
        </w:rPr>
        <w:t>拼装工艺</w:t>
      </w:r>
      <w:r>
        <w:rPr>
          <w:rFonts w:hint="eastAsia" w:ascii="Times New Roman" w:hAnsi="Times New Roman"/>
          <w:color w:val="auto"/>
          <w:highlight w:val="none"/>
          <w:lang w:eastAsia="zh-CN"/>
        </w:rPr>
        <w:t>，</w:t>
      </w:r>
      <w:r>
        <w:rPr>
          <w:rFonts w:hint="eastAsia" w:ascii="Times New Roman" w:hAnsi="Times New Roman"/>
          <w:color w:val="auto"/>
          <w:highlight w:val="none"/>
          <w:lang w:val="en-US" w:eastAsia="zh-CN"/>
        </w:rPr>
        <w:t>也可采用现浇工艺，</w:t>
      </w:r>
      <w:r>
        <w:rPr>
          <w:rFonts w:hint="eastAsia" w:ascii="Times New Roman" w:hAnsi="Times New Roman"/>
          <w:color w:val="auto"/>
          <w:highlight w:val="none"/>
        </w:rPr>
        <w:t>标准横断面布置及相应规定详见附录A</w:t>
      </w:r>
      <w:r>
        <w:rPr>
          <w:rFonts w:hint="eastAsia" w:ascii="Times New Roman" w:hAnsi="Times New Roman"/>
          <w:color w:val="auto"/>
          <w:highlight w:val="none"/>
          <w:lang w:eastAsia="zh-CN"/>
        </w:rPr>
        <w:t>、</w:t>
      </w:r>
      <w:r>
        <w:rPr>
          <w:rFonts w:hint="eastAsia" w:ascii="Times New Roman" w:hAnsi="Times New Roman"/>
          <w:color w:val="auto"/>
          <w:highlight w:val="none"/>
        </w:rPr>
        <w:t>附录B。</w:t>
      </w:r>
    </w:p>
    <w:p w14:paraId="7705CD76">
      <w:pPr>
        <w:rPr>
          <w:rFonts w:ascii="Times New Roman" w:hAnsi="Times New Roman"/>
          <w:color w:val="auto"/>
          <w:highlight w:val="none"/>
        </w:rPr>
      </w:pPr>
      <w:r>
        <w:rPr>
          <w:rFonts w:hint="eastAsia" w:ascii="Times New Roman" w:hAnsi="Times New Roman"/>
          <w:b/>
          <w:bCs/>
          <w:color w:val="auto"/>
          <w:highlight w:val="none"/>
        </w:rPr>
        <w:t>【条文说明：</w:t>
      </w:r>
      <w:r>
        <w:rPr>
          <w:rFonts w:hint="eastAsia" w:ascii="Times New Roman" w:hAnsi="Times New Roman"/>
          <w:color w:val="auto"/>
          <w:highlight w:val="none"/>
          <w:lang w:val="en-US" w:eastAsia="zh-CN"/>
        </w:rPr>
        <w:t>考虑小型综合管廊的建设区域，为降低市政交通、附近居民生活影响程度，优先采用预制拼装工艺</w:t>
      </w:r>
      <w:r>
        <w:rPr>
          <w:rFonts w:hint="eastAsia" w:ascii="Times New Roman" w:hAnsi="Times New Roman"/>
          <w:color w:val="auto"/>
          <w:highlight w:val="none"/>
        </w:rPr>
        <w:t>。】</w:t>
      </w:r>
    </w:p>
    <w:p w14:paraId="6EB51949">
      <w:pPr>
        <w:pStyle w:val="34"/>
        <w:spacing w:before="156" w:beforeLines="50" w:after="156" w:afterLines="50" w:line="400" w:lineRule="exact"/>
        <w:outlineLvl w:val="2"/>
        <w:rPr>
          <w:rFonts w:ascii="黑体" w:hAnsi="黑体" w:cs="黑体"/>
          <w:color w:val="auto"/>
          <w:sz w:val="21"/>
          <w:szCs w:val="21"/>
          <w:highlight w:val="none"/>
        </w:rPr>
      </w:pPr>
      <w:bookmarkStart w:id="82" w:name="_Toc32465"/>
      <w:bookmarkStart w:id="83" w:name="_Toc4244"/>
      <w:bookmarkStart w:id="84" w:name="_Toc21388"/>
      <w:r>
        <w:rPr>
          <w:rFonts w:hint="eastAsia" w:ascii="黑体" w:hAnsi="黑体" w:cs="黑体"/>
          <w:color w:val="auto"/>
          <w:sz w:val="21"/>
          <w:szCs w:val="21"/>
          <w:highlight w:val="none"/>
        </w:rPr>
        <w:t>5.4</w:t>
      </w:r>
      <w:r>
        <w:rPr>
          <w:rFonts w:hint="eastAsia" w:ascii="黑体" w:hAnsi="黑体" w:cs="黑体"/>
          <w:color w:val="auto"/>
          <w:sz w:val="21"/>
          <w:szCs w:val="21"/>
          <w:highlight w:val="none"/>
          <w:lang w:val="en-US" w:eastAsia="zh-CN"/>
        </w:rPr>
        <w:t xml:space="preserve"> </w:t>
      </w:r>
      <w:r>
        <w:rPr>
          <w:rFonts w:hint="eastAsia" w:ascii="黑体" w:hAnsi="黑体" w:cs="黑体"/>
          <w:color w:val="auto"/>
          <w:sz w:val="21"/>
          <w:szCs w:val="21"/>
          <w:highlight w:val="none"/>
        </w:rPr>
        <w:t>节点设计</w:t>
      </w:r>
      <w:bookmarkEnd w:id="82"/>
      <w:bookmarkEnd w:id="83"/>
      <w:bookmarkEnd w:id="84"/>
    </w:p>
    <w:p w14:paraId="3497EE45">
      <w:pPr>
        <w:rPr>
          <w:rFonts w:ascii="Times New Roman" w:hAnsi="Times New Roman"/>
          <w:color w:val="auto"/>
          <w:highlight w:val="none"/>
        </w:rPr>
      </w:pPr>
      <w:r>
        <w:rPr>
          <w:rFonts w:hint="eastAsia" w:ascii="黑体" w:hAnsi="黑体" w:eastAsia="黑体" w:cs="黑体"/>
          <w:b/>
          <w:bCs/>
          <w:color w:val="auto"/>
          <w:highlight w:val="none"/>
        </w:rPr>
        <w:t>5.4.1</w:t>
      </w:r>
      <w:r>
        <w:rPr>
          <w:rFonts w:hint="eastAsia" w:ascii="Times New Roman" w:hAnsi="Times New Roman"/>
          <w:color w:val="auto"/>
          <w:highlight w:val="none"/>
        </w:rPr>
        <w:t xml:space="preserve"> 小型综合管廊</w:t>
      </w:r>
      <w:r>
        <w:rPr>
          <w:rFonts w:hint="eastAsia" w:ascii="Times New Roman" w:hAnsi="Times New Roman"/>
          <w:color w:val="auto"/>
          <w:highlight w:val="none"/>
          <w:lang w:val="en-US" w:eastAsia="zh-CN"/>
        </w:rPr>
        <w:t>宜</w:t>
      </w:r>
      <w:r>
        <w:rPr>
          <w:rFonts w:hint="eastAsia" w:ascii="Times New Roman" w:hAnsi="Times New Roman"/>
          <w:color w:val="auto"/>
          <w:highlight w:val="none"/>
        </w:rPr>
        <w:t>设置综合工作井，并应符合下列规定：</w:t>
      </w:r>
    </w:p>
    <w:p w14:paraId="439CA482">
      <w:pPr>
        <w:ind w:firstLine="420" w:firstLineChars="200"/>
        <w:rPr>
          <w:rFonts w:ascii="Times New Roman" w:hAnsi="Times New Roman"/>
          <w:color w:val="auto"/>
          <w:highlight w:val="none"/>
        </w:rPr>
      </w:pPr>
      <w:r>
        <w:rPr>
          <w:rFonts w:hint="eastAsia" w:ascii="Times New Roman" w:hAnsi="Times New Roman"/>
          <w:color w:val="auto"/>
          <w:highlight w:val="none"/>
        </w:rPr>
        <w:t>1 应统筹合并减少地面孔口数量，逃生口、管线分支口、自然通风口等宜集中布置于综合工作井，综合工作井布置间距不宜小于50m；</w:t>
      </w:r>
    </w:p>
    <w:p w14:paraId="6B5FE817">
      <w:pPr>
        <w:ind w:firstLine="420" w:firstLineChars="200"/>
        <w:rPr>
          <w:rFonts w:hint="eastAsia" w:ascii="Times New Roman" w:hAnsi="Times New Roman"/>
          <w:color w:val="auto"/>
          <w:highlight w:val="none"/>
        </w:rPr>
      </w:pPr>
      <w:r>
        <w:rPr>
          <w:rFonts w:hint="eastAsia" w:ascii="Times New Roman" w:hAnsi="Times New Roman"/>
          <w:color w:val="auto"/>
          <w:highlight w:val="none"/>
        </w:rPr>
        <w:t>2 采用非开挖方式建造的小型综合管廊，应根据工作井的布置统筹设置；</w:t>
      </w:r>
    </w:p>
    <w:p w14:paraId="308A1843">
      <w:pPr>
        <w:ind w:firstLine="420" w:firstLineChars="200"/>
        <w:rPr>
          <w:rFonts w:hint="eastAsia" w:ascii="Times New Roman" w:hAnsi="Times New Roman" w:eastAsia="宋体"/>
          <w:color w:val="auto"/>
          <w:highlight w:val="none"/>
          <w:lang w:eastAsia="zh-CN"/>
        </w:rPr>
      </w:pPr>
      <w:r>
        <w:rPr>
          <w:rFonts w:hint="eastAsia" w:ascii="Times New Roman" w:hAnsi="Times New Roman"/>
          <w:color w:val="auto"/>
          <w:highlight w:val="none"/>
          <w:lang w:eastAsia="zh-CN"/>
        </w:rPr>
        <w:t>【</w:t>
      </w:r>
      <w:r>
        <w:rPr>
          <w:rFonts w:hint="eastAsia" w:ascii="Times New Roman" w:hAnsi="Times New Roman"/>
          <w:b/>
          <w:bCs/>
          <w:color w:val="auto"/>
          <w:highlight w:val="none"/>
          <w:lang w:val="en-US" w:eastAsia="zh-CN"/>
        </w:rPr>
        <w:t>条文说明：1、</w:t>
      </w:r>
      <w:r>
        <w:rPr>
          <w:rFonts w:hint="eastAsia" w:ascii="Times New Roman" w:hAnsi="Times New Roman"/>
          <w:color w:val="auto"/>
          <w:highlight w:val="none"/>
        </w:rPr>
        <w:t>根据管线用途需要，在缆线分支、接头、大角度转弯处宜设置工作井</w:t>
      </w:r>
      <w:r>
        <w:rPr>
          <w:rFonts w:hint="eastAsia" w:ascii="Times New Roman" w:hAnsi="Times New Roman"/>
          <w:color w:val="auto"/>
          <w:highlight w:val="none"/>
          <w:lang w:val="en-US" w:eastAsia="zh-CN"/>
        </w:rPr>
        <w:t>。2、</w:t>
      </w:r>
      <w:r>
        <w:rPr>
          <w:rFonts w:hint="eastAsia" w:ascii="Times New Roman" w:hAnsi="Times New Roman"/>
          <w:color w:val="auto"/>
          <w:highlight w:val="none"/>
        </w:rPr>
        <w:t>工作井指用于非开挖工程施工的地下作业空间，包括顶进井和接收井等构筑物</w:t>
      </w:r>
      <w:r>
        <w:rPr>
          <w:rFonts w:hint="eastAsia" w:ascii="Times New Roman" w:hAnsi="Times New Roman"/>
          <w:color w:val="auto"/>
          <w:highlight w:val="none"/>
          <w:lang w:val="en-US" w:eastAsia="zh-CN"/>
        </w:rPr>
        <w:t>。</w:t>
      </w:r>
      <w:r>
        <w:rPr>
          <w:rFonts w:hint="eastAsia" w:ascii="Times New Roman" w:hAnsi="Times New Roman"/>
          <w:highlight w:val="none"/>
        </w:rPr>
        <w:t>3、</w:t>
      </w:r>
      <w:r>
        <w:rPr>
          <w:rFonts w:hint="eastAsia" w:ascii="Times New Roman" w:hAnsi="Times New Roman"/>
          <w:highlight w:val="none"/>
          <w:lang w:val="en-US" w:eastAsia="zh-CN"/>
        </w:rPr>
        <w:t>当</w:t>
      </w:r>
      <w:r>
        <w:rPr>
          <w:rFonts w:hint="eastAsia" w:ascii="Times New Roman" w:hAnsi="Times New Roman"/>
          <w:highlight w:val="none"/>
        </w:rPr>
        <w:t>建设</w:t>
      </w:r>
      <w:r>
        <w:rPr>
          <w:rFonts w:hint="eastAsia" w:ascii="Times New Roman" w:hAnsi="Times New Roman"/>
          <w:highlight w:val="none"/>
          <w:lang w:val="en-US" w:eastAsia="zh-CN"/>
        </w:rPr>
        <w:t>条件</w:t>
      </w:r>
      <w:r>
        <w:rPr>
          <w:rFonts w:hint="eastAsia" w:ascii="Times New Roman" w:hAnsi="Times New Roman"/>
          <w:highlight w:val="none"/>
        </w:rPr>
        <w:t>受限</w:t>
      </w:r>
      <w:r>
        <w:rPr>
          <w:rFonts w:hint="eastAsia" w:ascii="Times New Roman" w:hAnsi="Times New Roman"/>
          <w:highlight w:val="none"/>
          <w:lang w:val="en-US" w:eastAsia="zh-CN"/>
        </w:rPr>
        <w:t>时，</w:t>
      </w:r>
      <w:r>
        <w:rPr>
          <w:rFonts w:hint="eastAsia" w:ascii="Times New Roman" w:hAnsi="Times New Roman"/>
          <w:highlight w:val="none"/>
        </w:rPr>
        <w:t>可结合项目实际情况适当减小工作井的布置间距</w:t>
      </w:r>
      <w:r>
        <w:rPr>
          <w:rFonts w:hint="eastAsia" w:ascii="Times New Roman" w:hAnsi="Times New Roman"/>
          <w:highlight w:val="none"/>
          <w:lang w:eastAsia="zh-CN"/>
        </w:rPr>
        <w:t>。</w:t>
      </w:r>
      <w:r>
        <w:rPr>
          <w:rFonts w:hint="eastAsia" w:ascii="Times New Roman" w:hAnsi="Times New Roman"/>
          <w:color w:val="auto"/>
          <w:highlight w:val="none"/>
          <w:lang w:eastAsia="zh-CN"/>
        </w:rPr>
        <w:t>】</w:t>
      </w:r>
    </w:p>
    <w:p w14:paraId="5957A487">
      <w:pPr>
        <w:ind w:firstLine="420" w:firstLineChars="200"/>
        <w:rPr>
          <w:rFonts w:ascii="Times New Roman" w:hAnsi="Times New Roman"/>
          <w:color w:val="auto"/>
          <w:highlight w:val="none"/>
        </w:rPr>
      </w:pPr>
      <w:r>
        <w:rPr>
          <w:rFonts w:hint="eastAsia" w:ascii="Times New Roman" w:hAnsi="Times New Roman"/>
          <w:color w:val="auto"/>
          <w:highlight w:val="none"/>
        </w:rPr>
        <w:t>3 布置于交叉口的管线分支口应按照远期规划需求进行预留，直接向用户提供服务的管线分支口，应结合用户实际需求布置，若无确定用户，可按间隔100m-150m设置一组管线分支口。</w:t>
      </w:r>
    </w:p>
    <w:p w14:paraId="124FB7B9">
      <w:pPr>
        <w:rPr>
          <w:rFonts w:ascii="Times New Roman" w:hAnsi="Times New Roman"/>
          <w:color w:val="auto"/>
          <w:highlight w:val="none"/>
        </w:rPr>
      </w:pPr>
      <w:r>
        <w:rPr>
          <w:rFonts w:hint="eastAsia" w:ascii="黑体" w:hAnsi="黑体" w:eastAsia="黑体" w:cs="黑体"/>
          <w:b/>
          <w:bCs/>
          <w:color w:val="auto"/>
          <w:highlight w:val="none"/>
        </w:rPr>
        <w:t>5.4.2</w:t>
      </w:r>
      <w:r>
        <w:rPr>
          <w:rFonts w:hint="eastAsia" w:ascii="Times New Roman" w:hAnsi="Times New Roman"/>
          <w:color w:val="auto"/>
          <w:highlight w:val="none"/>
        </w:rPr>
        <w:t xml:space="preserve"> 小型综合管廊的</w:t>
      </w:r>
      <w:r>
        <w:rPr>
          <w:rFonts w:hint="eastAsia" w:ascii="Times New Roman" w:hAnsi="Times New Roman"/>
          <w:color w:val="auto"/>
          <w:highlight w:val="none"/>
          <w:lang w:val="en-US" w:eastAsia="zh-CN"/>
        </w:rPr>
        <w:t>人员出入口、</w:t>
      </w:r>
      <w:r>
        <w:rPr>
          <w:rFonts w:hint="eastAsia" w:ascii="Times New Roman" w:hAnsi="Times New Roman"/>
          <w:color w:val="auto"/>
          <w:highlight w:val="none"/>
        </w:rPr>
        <w:t>逃生口、自然通风口等露出地面的构筑物应满足城市防洪要求，并应符合下列规定：</w:t>
      </w:r>
    </w:p>
    <w:p w14:paraId="1747DE2B">
      <w:pPr>
        <w:ind w:firstLine="420" w:firstLineChars="200"/>
        <w:rPr>
          <w:rFonts w:ascii="Times New Roman" w:hAnsi="Times New Roman"/>
          <w:color w:val="auto"/>
          <w:highlight w:val="none"/>
        </w:rPr>
      </w:pPr>
      <w:r>
        <w:rPr>
          <w:rFonts w:hint="eastAsia" w:ascii="Times New Roman" w:hAnsi="Times New Roman"/>
          <w:color w:val="auto"/>
          <w:highlight w:val="none"/>
        </w:rPr>
        <w:t>1 满足城市防洪要求，其开口标高不应低于防洪水位以上0.5m或采取防止地面水倒灌的措施；</w:t>
      </w:r>
    </w:p>
    <w:p w14:paraId="3B22E6AC">
      <w:pPr>
        <w:ind w:firstLine="420" w:firstLineChars="200"/>
        <w:rPr>
          <w:rFonts w:ascii="Times New Roman" w:hAnsi="Times New Roman"/>
          <w:color w:val="auto"/>
          <w:highlight w:val="none"/>
        </w:rPr>
      </w:pPr>
      <w:r>
        <w:rPr>
          <w:rFonts w:hint="eastAsia" w:ascii="Times New Roman" w:hAnsi="Times New Roman"/>
          <w:color w:val="auto"/>
          <w:highlight w:val="none"/>
        </w:rPr>
        <w:t>2 防止小动物进入；</w:t>
      </w:r>
    </w:p>
    <w:p w14:paraId="17C3B62C">
      <w:pPr>
        <w:ind w:firstLine="420" w:firstLineChars="200"/>
        <w:rPr>
          <w:rFonts w:hint="eastAsia" w:ascii="Times New Roman" w:hAnsi="Times New Roman" w:eastAsia="宋体"/>
          <w:color w:val="auto"/>
          <w:highlight w:val="none"/>
          <w:lang w:eastAsia="zh-CN"/>
        </w:rPr>
      </w:pPr>
      <w:r>
        <w:rPr>
          <w:rFonts w:hint="eastAsia" w:ascii="Times New Roman" w:hAnsi="Times New Roman"/>
          <w:color w:val="auto"/>
          <w:highlight w:val="none"/>
        </w:rPr>
        <w:t>3防止人员非法入侵</w:t>
      </w:r>
      <w:r>
        <w:rPr>
          <w:rFonts w:hint="eastAsia" w:ascii="Times New Roman" w:hAnsi="Times New Roman"/>
          <w:color w:val="auto"/>
          <w:highlight w:val="none"/>
          <w:lang w:eastAsia="zh-CN"/>
        </w:rPr>
        <w:t>；</w:t>
      </w:r>
    </w:p>
    <w:p w14:paraId="4A8D16F2">
      <w:pPr>
        <w:ind w:firstLine="420" w:firstLineChars="200"/>
        <w:rPr>
          <w:rFonts w:hint="eastAsia" w:ascii="Times New Roman" w:hAnsi="Times New Roman"/>
          <w:color w:val="auto"/>
          <w:highlight w:val="none"/>
        </w:rPr>
      </w:pPr>
      <w:r>
        <w:rPr>
          <w:rFonts w:hint="eastAsia" w:ascii="Times New Roman" w:hAnsi="Times New Roman"/>
          <w:color w:val="auto"/>
          <w:highlight w:val="none"/>
          <w:lang w:val="en-US" w:eastAsia="zh-CN"/>
        </w:rPr>
        <w:t>4 不应侵入道路行车限界内，并应满足国家现行标准《城市道路工程设计规范》CJJ 37的有关规定</w:t>
      </w:r>
      <w:r>
        <w:rPr>
          <w:rFonts w:hint="eastAsia" w:ascii="Times New Roman" w:hAnsi="Times New Roman"/>
          <w:color w:val="auto"/>
          <w:highlight w:val="none"/>
        </w:rPr>
        <w:t>。</w:t>
      </w:r>
    </w:p>
    <w:p w14:paraId="50D51403">
      <w:pPr>
        <w:ind w:firstLine="0" w:firstLineChars="0"/>
        <w:rPr>
          <w:rFonts w:hint="eastAsia" w:ascii="Times New Roman" w:hAnsi="Times New Roman"/>
          <w:color w:val="auto"/>
          <w:highlight w:val="none"/>
          <w:lang w:eastAsia="zh-CN"/>
        </w:rPr>
      </w:pPr>
      <w:r>
        <w:rPr>
          <w:rFonts w:hint="eastAsia" w:ascii="黑体" w:hAnsi="黑体" w:eastAsia="黑体" w:cs="黑体"/>
          <w:b/>
          <w:bCs/>
          <w:color w:val="auto"/>
          <w:highlight w:val="none"/>
        </w:rPr>
        <w:t xml:space="preserve">5.4.3 </w:t>
      </w:r>
      <w:r>
        <w:rPr>
          <w:rFonts w:hint="eastAsia" w:ascii="Times New Roman" w:hAnsi="Times New Roman"/>
          <w:color w:val="auto"/>
          <w:highlight w:val="none"/>
        </w:rPr>
        <w:t>综合管廊人员出入口宜与逃生口、吊装口、自然通风口结合设置</w:t>
      </w:r>
      <w:r>
        <w:rPr>
          <w:rFonts w:hint="eastAsia" w:ascii="Times New Roman" w:hAnsi="Times New Roman"/>
          <w:color w:val="auto"/>
          <w:highlight w:val="none"/>
          <w:lang w:eastAsia="zh-CN"/>
        </w:rPr>
        <w:t>。</w:t>
      </w:r>
    </w:p>
    <w:p w14:paraId="48C1BE47">
      <w:pPr>
        <w:ind w:firstLine="0" w:firstLineChars="0"/>
        <w:rPr>
          <w:rFonts w:hint="eastAsia" w:ascii="Times New Roman" w:hAnsi="Times New Roman"/>
          <w:color w:val="auto"/>
          <w:highlight w:val="none"/>
          <w:lang w:eastAsia="zh-CN"/>
        </w:rPr>
      </w:pPr>
      <w:r>
        <w:rPr>
          <w:rFonts w:hint="eastAsia" w:ascii="Times New Roman" w:hAnsi="Times New Roman"/>
          <w:color w:val="auto"/>
          <w:highlight w:val="none"/>
          <w:lang w:eastAsia="zh-CN"/>
        </w:rPr>
        <w:t>【</w:t>
      </w:r>
      <w:r>
        <w:rPr>
          <w:rFonts w:hint="eastAsia" w:ascii="Times New Roman" w:hAnsi="Times New Roman"/>
          <w:b/>
          <w:bCs/>
          <w:color w:val="auto"/>
          <w:highlight w:val="none"/>
          <w:lang w:val="en-US" w:eastAsia="zh-CN"/>
        </w:rPr>
        <w:t>条文说明：</w:t>
      </w:r>
      <w:r>
        <w:rPr>
          <w:rFonts w:hint="eastAsia" w:ascii="Times New Roman" w:hAnsi="Times New Roman"/>
          <w:color w:val="auto"/>
          <w:highlight w:val="none"/>
          <w:lang w:val="en-US" w:eastAsia="zh-CN"/>
        </w:rPr>
        <w:t>人员出入口可结合绿化带等处设置，条件受限时，可结合综合工作井设置直爬梯作为人员出入口，方便人员进出。</w:t>
      </w:r>
      <w:r>
        <w:rPr>
          <w:rFonts w:hint="eastAsia" w:ascii="Times New Roman" w:hAnsi="Times New Roman"/>
          <w:color w:val="auto"/>
          <w:highlight w:val="none"/>
          <w:lang w:eastAsia="zh-CN"/>
        </w:rPr>
        <w:t>】</w:t>
      </w:r>
    </w:p>
    <w:p w14:paraId="7DF6B043">
      <w:pPr>
        <w:rPr>
          <w:rFonts w:ascii="Times New Roman" w:hAnsi="Times New Roman"/>
          <w:color w:val="auto"/>
          <w:highlight w:val="none"/>
        </w:rPr>
      </w:pPr>
      <w:r>
        <w:rPr>
          <w:rFonts w:hint="eastAsia" w:ascii="黑体" w:hAnsi="黑体" w:eastAsia="黑体" w:cs="黑体"/>
          <w:b/>
          <w:bCs/>
          <w:color w:val="auto"/>
          <w:highlight w:val="none"/>
        </w:rPr>
        <w:t>5.4.</w:t>
      </w:r>
      <w:r>
        <w:rPr>
          <w:rFonts w:hint="eastAsia" w:ascii="黑体" w:hAnsi="黑体" w:eastAsia="黑体" w:cs="黑体"/>
          <w:b/>
          <w:bCs/>
          <w:color w:val="auto"/>
          <w:highlight w:val="none"/>
          <w:lang w:val="en-US" w:eastAsia="zh-CN"/>
        </w:rPr>
        <w:t>4</w:t>
      </w:r>
      <w:r>
        <w:rPr>
          <w:rFonts w:hint="eastAsia" w:ascii="黑体" w:hAnsi="黑体" w:eastAsia="黑体" w:cs="黑体"/>
          <w:b/>
          <w:bCs/>
          <w:color w:val="auto"/>
          <w:highlight w:val="none"/>
        </w:rPr>
        <w:t xml:space="preserve"> </w:t>
      </w:r>
      <w:r>
        <w:rPr>
          <w:rFonts w:hint="eastAsia" w:ascii="Times New Roman" w:hAnsi="Times New Roman"/>
          <w:color w:val="auto"/>
          <w:highlight w:val="none"/>
        </w:rPr>
        <w:t>小型综合管廊逃生口的设置应符合下列规定:</w:t>
      </w:r>
    </w:p>
    <w:p w14:paraId="7BD505B4">
      <w:pPr>
        <w:ind w:firstLine="420" w:firstLineChars="200"/>
        <w:rPr>
          <w:rFonts w:ascii="Times New Roman" w:hAnsi="Times New Roman"/>
          <w:color w:val="auto"/>
          <w:highlight w:val="none"/>
        </w:rPr>
      </w:pPr>
      <w:r>
        <w:rPr>
          <w:rFonts w:hint="eastAsia" w:ascii="Times New Roman" w:hAnsi="Times New Roman"/>
          <w:color w:val="auto"/>
          <w:highlight w:val="none"/>
        </w:rPr>
        <w:t>1逃生口间距不宜大于400m。</w:t>
      </w:r>
    </w:p>
    <w:p w14:paraId="3648C4E6">
      <w:pPr>
        <w:ind w:firstLine="420" w:firstLineChars="200"/>
        <w:rPr>
          <w:rFonts w:hint="eastAsia" w:ascii="Times New Roman" w:hAnsi="Times New Roman" w:eastAsia="宋体"/>
          <w:color w:val="auto"/>
          <w:highlight w:val="none"/>
          <w:lang w:eastAsia="zh-CN"/>
        </w:rPr>
      </w:pPr>
      <w:r>
        <w:rPr>
          <w:rFonts w:hint="eastAsia" w:ascii="Times New Roman" w:hAnsi="Times New Roman"/>
          <w:color w:val="auto"/>
          <w:highlight w:val="none"/>
        </w:rPr>
        <w:t>2 逃生口尺寸不应小于1m×1m，当为圆形时，内径不应小于1m。</w:t>
      </w:r>
    </w:p>
    <w:p w14:paraId="20B684CC">
      <w:pPr>
        <w:rPr>
          <w:rFonts w:ascii="黑体" w:hAnsi="黑体" w:eastAsia="黑体" w:cs="黑体"/>
          <w:b/>
          <w:bCs/>
          <w:color w:val="auto"/>
          <w:highlight w:val="none"/>
        </w:rPr>
      </w:pPr>
      <w:r>
        <w:rPr>
          <w:rFonts w:hint="eastAsia" w:ascii="黑体" w:hAnsi="黑体" w:eastAsia="黑体" w:cs="黑体"/>
          <w:b/>
          <w:bCs/>
          <w:color w:val="auto"/>
          <w:highlight w:val="none"/>
        </w:rPr>
        <w:t>5.4.</w:t>
      </w:r>
      <w:r>
        <w:rPr>
          <w:rFonts w:hint="eastAsia" w:ascii="黑体" w:hAnsi="黑体" w:eastAsia="黑体" w:cs="黑体"/>
          <w:b/>
          <w:bCs/>
          <w:color w:val="auto"/>
          <w:highlight w:val="none"/>
          <w:lang w:val="en-US" w:eastAsia="zh-CN"/>
        </w:rPr>
        <w:t>5</w:t>
      </w:r>
      <w:r>
        <w:rPr>
          <w:rFonts w:ascii="黑体" w:hAnsi="黑体" w:eastAsia="黑体" w:cs="黑体"/>
          <w:b/>
          <w:bCs/>
          <w:color w:val="auto"/>
          <w:highlight w:val="none"/>
        </w:rPr>
        <w:t xml:space="preserve"> </w:t>
      </w:r>
      <w:r>
        <w:rPr>
          <w:rFonts w:hint="eastAsia" w:ascii="Times New Roman" w:hAnsi="Times New Roman"/>
          <w:color w:val="auto"/>
          <w:highlight w:val="none"/>
        </w:rPr>
        <w:t>小型综合管廊吊装口的最大间距不宜超过400m。吊装口净尺寸应满足管线、设备、人员进出的最小允许限界要求。</w:t>
      </w:r>
    </w:p>
    <w:p w14:paraId="15114667">
      <w:pPr>
        <w:rPr>
          <w:rFonts w:hint="eastAsia" w:ascii="Times New Roman" w:hAnsi="Times New Roman"/>
          <w:color w:val="auto"/>
          <w:highlight w:val="none"/>
        </w:rPr>
      </w:pPr>
      <w:r>
        <w:rPr>
          <w:rFonts w:hint="eastAsia" w:ascii="黑体" w:hAnsi="黑体" w:eastAsia="黑体" w:cs="黑体"/>
          <w:b/>
          <w:bCs/>
          <w:color w:val="auto"/>
          <w:highlight w:val="none"/>
        </w:rPr>
        <w:t>5.4.</w:t>
      </w:r>
      <w:r>
        <w:rPr>
          <w:rFonts w:hint="eastAsia" w:ascii="黑体" w:hAnsi="黑体" w:eastAsia="黑体" w:cs="黑体"/>
          <w:b/>
          <w:bCs/>
          <w:color w:val="auto"/>
          <w:highlight w:val="none"/>
          <w:lang w:val="en-US" w:eastAsia="zh-CN"/>
        </w:rPr>
        <w:t>6</w:t>
      </w:r>
      <w:r>
        <w:rPr>
          <w:rFonts w:hint="eastAsia" w:ascii="黑体" w:hAnsi="黑体" w:eastAsia="黑体" w:cs="黑体"/>
          <w:b/>
          <w:bCs/>
          <w:color w:val="auto"/>
          <w:highlight w:val="none"/>
        </w:rPr>
        <w:t xml:space="preserve"> </w:t>
      </w:r>
      <w:r>
        <w:rPr>
          <w:rFonts w:hint="eastAsia" w:ascii="Times New Roman" w:hAnsi="Times New Roman"/>
          <w:color w:val="auto"/>
          <w:highlight w:val="none"/>
        </w:rPr>
        <w:t>露出地面的各类孔口盖板应设置在外部使用时非专业人员难以开启的安全装置</w:t>
      </w:r>
      <w:r>
        <w:rPr>
          <w:rFonts w:hint="eastAsia" w:ascii="Times New Roman" w:hAnsi="Times New Roman"/>
          <w:color w:val="auto"/>
          <w:highlight w:val="none"/>
          <w:lang w:val="en-US" w:eastAsia="zh-CN"/>
        </w:rPr>
        <w:t>，并应具备防入侵功能</w:t>
      </w:r>
      <w:r>
        <w:rPr>
          <w:rFonts w:hint="eastAsia" w:ascii="Times New Roman" w:hAnsi="Times New Roman"/>
          <w:color w:val="auto"/>
          <w:highlight w:val="none"/>
        </w:rPr>
        <w:t>。</w:t>
      </w:r>
    </w:p>
    <w:p w14:paraId="38A4C44F">
      <w:pPr>
        <w:rPr>
          <w:rFonts w:hint="eastAsia" w:ascii="Times New Roman" w:hAnsi="Times New Roman"/>
          <w:color w:val="auto"/>
          <w:highlight w:val="none"/>
          <w:lang w:eastAsia="zh-CN"/>
        </w:rPr>
      </w:pPr>
      <w:r>
        <w:rPr>
          <w:rFonts w:hint="eastAsia" w:ascii="Times New Roman" w:hAnsi="Times New Roman"/>
          <w:color w:val="auto"/>
          <w:highlight w:val="none"/>
          <w:lang w:eastAsia="zh-CN"/>
        </w:rPr>
        <w:t>【</w:t>
      </w:r>
      <w:r>
        <w:rPr>
          <w:rFonts w:hint="eastAsia" w:ascii="Times New Roman" w:hAnsi="Times New Roman"/>
          <w:b/>
          <w:bCs/>
          <w:color w:val="auto"/>
          <w:highlight w:val="none"/>
        </w:rPr>
        <w:t>条文说明：</w:t>
      </w:r>
      <w:r>
        <w:rPr>
          <w:rFonts w:hint="eastAsia" w:ascii="Times New Roman" w:hAnsi="Times New Roman"/>
          <w:color w:val="auto"/>
          <w:highlight w:val="none"/>
        </w:rPr>
        <w:t>经与综合管廊运维单位了解并结合运维经验，小型综合管廊实际使用中，为满足有限空间作业要求，进入小型综合管廊作业前，均要求先行打开小型综合管廊井盖进行强制通风，故不存在人员在内部，井盖未打开的情况，故删除各类孔口盖板在内部使用时易于人力开启功能</w:t>
      </w:r>
      <w:r>
        <w:rPr>
          <w:rFonts w:hint="eastAsia" w:ascii="Times New Roman" w:hAnsi="Times New Roman"/>
          <w:color w:val="auto"/>
          <w:highlight w:val="none"/>
          <w:lang w:val="en-US" w:eastAsia="zh-CN"/>
        </w:rPr>
        <w:t>。</w:t>
      </w:r>
      <w:r>
        <w:rPr>
          <w:rFonts w:hint="eastAsia" w:ascii="Times New Roman" w:hAnsi="Times New Roman"/>
          <w:color w:val="auto"/>
          <w:highlight w:val="none"/>
          <w:lang w:eastAsia="zh-CN"/>
        </w:rPr>
        <w:t>】</w:t>
      </w:r>
    </w:p>
    <w:p w14:paraId="31E7116D">
      <w:pPr>
        <w:rPr>
          <w:rFonts w:hint="eastAsia" w:ascii="黑体" w:hAnsi="黑体" w:eastAsia="黑体" w:cs="黑体"/>
          <w:b/>
          <w:bCs/>
        </w:rPr>
      </w:pPr>
      <w:r>
        <w:rPr>
          <w:rFonts w:hint="eastAsia" w:ascii="黑体" w:hAnsi="黑体" w:eastAsia="黑体" w:cs="黑体"/>
          <w:b/>
          <w:bCs/>
        </w:rPr>
        <w:t>5.4.7</w:t>
      </w:r>
      <w:r>
        <w:rPr>
          <w:rFonts w:hint="eastAsia" w:ascii="黑体" w:hAnsi="黑体" w:eastAsia="黑体" w:cs="黑体"/>
          <w:b/>
          <w:bCs/>
          <w:lang w:val="en-US" w:eastAsia="zh-CN"/>
        </w:rPr>
        <w:t xml:space="preserve"> </w:t>
      </w:r>
      <w:r>
        <w:rPr>
          <w:rFonts w:hint="eastAsia" w:ascii="Times New Roman" w:hAnsi="Times New Roman"/>
        </w:rPr>
        <w:t>纳入高压电力电缆的小型综合管廊，宜间隔500m-600m设置一处电力电缆接头工井，电缆接头工井可结合综合工作井统筹布置。</w:t>
      </w:r>
    </w:p>
    <w:p w14:paraId="378080AB">
      <w:pPr>
        <w:rPr>
          <w:rFonts w:hint="eastAsia" w:ascii="Times New Roman" w:hAnsi="Times New Roman"/>
          <w:color w:val="auto"/>
          <w:highlight w:val="yellow"/>
          <w:lang w:eastAsia="zh-CN"/>
        </w:rPr>
      </w:pPr>
    </w:p>
    <w:p w14:paraId="17A0B87B">
      <w:pPr>
        <w:widowControl/>
        <w:adjustRightInd/>
        <w:spacing w:line="240" w:lineRule="auto"/>
        <w:jc w:val="left"/>
        <w:rPr>
          <w:rFonts w:ascii="Times New Roman" w:hAnsi="Times New Roman"/>
          <w:bCs/>
          <w:color w:val="auto"/>
          <w:sz w:val="32"/>
          <w:szCs w:val="32"/>
          <w:highlight w:val="none"/>
        </w:rPr>
      </w:pPr>
      <w:r>
        <w:rPr>
          <w:rFonts w:ascii="Times New Roman" w:hAnsi="Times New Roman"/>
          <w:bCs/>
          <w:color w:val="auto"/>
          <w:sz w:val="32"/>
          <w:szCs w:val="32"/>
          <w:highlight w:val="none"/>
        </w:rPr>
        <w:br w:type="page"/>
      </w:r>
    </w:p>
    <w:p w14:paraId="1E5A01FC">
      <w:pPr>
        <w:pStyle w:val="2"/>
        <w:spacing w:before="300" w:after="300" w:line="400" w:lineRule="exact"/>
        <w:jc w:val="center"/>
        <w:rPr>
          <w:rFonts w:ascii="黑体" w:hAnsi="黑体"/>
          <w:color w:val="auto"/>
          <w:highlight w:val="none"/>
        </w:rPr>
      </w:pPr>
      <w:bookmarkStart w:id="85" w:name="_Toc19889"/>
      <w:bookmarkStart w:id="86" w:name="_Toc26093"/>
      <w:bookmarkStart w:id="87" w:name="_Toc8411"/>
      <w:r>
        <w:rPr>
          <w:rFonts w:hint="eastAsia" w:ascii="黑体" w:hAnsi="黑体"/>
          <w:color w:val="auto"/>
          <w:highlight w:val="none"/>
        </w:rPr>
        <w:t>6 管线设计</w:t>
      </w:r>
      <w:bookmarkEnd w:id="85"/>
      <w:bookmarkEnd w:id="86"/>
      <w:bookmarkEnd w:id="87"/>
    </w:p>
    <w:p w14:paraId="7E0AD871">
      <w:pPr>
        <w:pStyle w:val="34"/>
        <w:spacing w:before="156" w:beforeLines="50" w:after="156" w:afterLines="50" w:line="400" w:lineRule="exact"/>
        <w:outlineLvl w:val="2"/>
        <w:rPr>
          <w:rFonts w:ascii="黑体" w:hAnsi="黑体" w:cs="黑体"/>
          <w:color w:val="auto"/>
          <w:sz w:val="21"/>
          <w:szCs w:val="21"/>
          <w:highlight w:val="none"/>
        </w:rPr>
      </w:pPr>
      <w:bookmarkStart w:id="88" w:name="_Toc999"/>
      <w:bookmarkStart w:id="89" w:name="_Toc1595"/>
      <w:bookmarkStart w:id="90" w:name="_Toc24599"/>
      <w:r>
        <w:rPr>
          <w:rFonts w:hint="eastAsia" w:ascii="黑体" w:hAnsi="黑体" w:cs="黑体"/>
          <w:color w:val="auto"/>
          <w:sz w:val="21"/>
          <w:szCs w:val="21"/>
          <w:highlight w:val="none"/>
        </w:rPr>
        <w:t>6.1</w:t>
      </w:r>
      <w:r>
        <w:rPr>
          <w:rFonts w:hint="eastAsia" w:ascii="黑体" w:hAnsi="黑体" w:cs="黑体"/>
          <w:color w:val="auto"/>
          <w:sz w:val="21"/>
          <w:szCs w:val="21"/>
          <w:highlight w:val="none"/>
          <w:lang w:val="en-US" w:eastAsia="zh-CN"/>
        </w:rPr>
        <w:t xml:space="preserve"> </w:t>
      </w:r>
      <w:r>
        <w:rPr>
          <w:rFonts w:hint="eastAsia" w:ascii="黑体" w:hAnsi="黑体" w:cs="黑体"/>
          <w:color w:val="auto"/>
          <w:sz w:val="21"/>
          <w:szCs w:val="21"/>
          <w:highlight w:val="none"/>
        </w:rPr>
        <w:t>-般规定</w:t>
      </w:r>
      <w:bookmarkEnd w:id="88"/>
      <w:bookmarkEnd w:id="89"/>
      <w:bookmarkEnd w:id="90"/>
    </w:p>
    <w:p w14:paraId="011E543A">
      <w:pPr>
        <w:rPr>
          <w:rFonts w:ascii="Times New Roman" w:hAnsi="Times New Roman"/>
          <w:color w:val="auto"/>
          <w:highlight w:val="none"/>
        </w:rPr>
      </w:pPr>
      <w:r>
        <w:rPr>
          <w:rFonts w:hint="eastAsia" w:ascii="黑体" w:hAnsi="黑体" w:eastAsia="黑体" w:cs="黑体"/>
          <w:b/>
          <w:bCs/>
          <w:color w:val="auto"/>
          <w:highlight w:val="none"/>
        </w:rPr>
        <w:t xml:space="preserve">6.1.1 </w:t>
      </w:r>
      <w:r>
        <w:rPr>
          <w:rFonts w:hint="eastAsia" w:ascii="Times New Roman" w:hAnsi="Times New Roman"/>
          <w:color w:val="auto"/>
          <w:highlight w:val="none"/>
        </w:rPr>
        <w:t>管线设计应符合本标准第5章的有关规定。</w:t>
      </w:r>
    </w:p>
    <w:p w14:paraId="0D936B8E">
      <w:pPr>
        <w:rPr>
          <w:rFonts w:ascii="Times New Roman" w:hAnsi="Times New Roman"/>
          <w:color w:val="auto"/>
          <w:highlight w:val="none"/>
        </w:rPr>
      </w:pPr>
      <w:r>
        <w:rPr>
          <w:rFonts w:hint="eastAsia" w:ascii="黑体" w:hAnsi="黑体" w:eastAsia="黑体" w:cs="黑体"/>
          <w:b/>
          <w:bCs/>
          <w:color w:val="auto"/>
          <w:highlight w:val="none"/>
        </w:rPr>
        <w:t xml:space="preserve">6.1.2 </w:t>
      </w:r>
      <w:r>
        <w:rPr>
          <w:rFonts w:hint="eastAsia" w:ascii="Times New Roman" w:hAnsi="Times New Roman"/>
          <w:color w:val="auto"/>
          <w:highlight w:val="none"/>
        </w:rPr>
        <w:t>纳入小型综合管廊的金属管道应进行防腐设计，防腐措施及采取标准应符合国家现行标准的规定。</w:t>
      </w:r>
    </w:p>
    <w:p w14:paraId="6B91E9C1">
      <w:pPr>
        <w:rPr>
          <w:rFonts w:ascii="Times New Roman" w:hAnsi="Times New Roman"/>
          <w:color w:val="auto"/>
          <w:highlight w:val="none"/>
        </w:rPr>
      </w:pPr>
      <w:r>
        <w:rPr>
          <w:rFonts w:hint="eastAsia" w:ascii="黑体" w:hAnsi="黑体" w:eastAsia="黑体" w:cs="黑体"/>
          <w:b/>
          <w:bCs/>
          <w:color w:val="auto"/>
          <w:highlight w:val="none"/>
        </w:rPr>
        <w:t>6.1.3</w:t>
      </w:r>
      <w:r>
        <w:rPr>
          <w:rFonts w:hint="eastAsia" w:ascii="Times New Roman" w:hAnsi="Times New Roman"/>
          <w:color w:val="auto"/>
          <w:highlight w:val="none"/>
        </w:rPr>
        <w:t xml:space="preserve"> 管线配套检测设备、控制执行机构或监控系统应设置与综合管廊监控与报警系统联通的信号传输接口。</w:t>
      </w:r>
    </w:p>
    <w:p w14:paraId="57C17067">
      <w:pPr>
        <w:rPr>
          <w:rFonts w:ascii="Times New Roman" w:hAnsi="Times New Roman"/>
          <w:color w:val="auto"/>
          <w:highlight w:val="none"/>
        </w:rPr>
      </w:pPr>
      <w:r>
        <w:rPr>
          <w:rFonts w:hint="eastAsia" w:ascii="黑体" w:hAnsi="黑体" w:eastAsia="黑体" w:cs="黑体"/>
          <w:b/>
          <w:bCs/>
          <w:color w:val="auto"/>
          <w:highlight w:val="none"/>
        </w:rPr>
        <w:t xml:space="preserve">6.1.4 </w:t>
      </w:r>
      <w:r>
        <w:rPr>
          <w:rFonts w:hint="eastAsia" w:ascii="Times New Roman" w:hAnsi="Times New Roman"/>
          <w:color w:val="auto"/>
          <w:highlight w:val="none"/>
        </w:rPr>
        <w:t>给水、再生水管道穿越变形缝时，应采取相应技术措施，应符合现行《建筑给水排水设计标准》GB 50015。</w:t>
      </w:r>
    </w:p>
    <w:p w14:paraId="33020300">
      <w:pPr>
        <w:rPr>
          <w:rFonts w:ascii="Times New Roman" w:hAnsi="Times New Roman"/>
          <w:color w:val="auto"/>
          <w:highlight w:val="none"/>
        </w:rPr>
      </w:pPr>
      <w:r>
        <w:rPr>
          <w:rFonts w:hint="eastAsia" w:ascii="黑体" w:hAnsi="黑体" w:eastAsia="黑体" w:cs="黑体"/>
          <w:b/>
          <w:bCs/>
          <w:color w:val="auto"/>
          <w:highlight w:val="none"/>
        </w:rPr>
        <w:t>6.1.5</w:t>
      </w:r>
      <w:r>
        <w:rPr>
          <w:rFonts w:hint="eastAsia" w:ascii="Times New Roman" w:hAnsi="Times New Roman"/>
          <w:color w:val="auto"/>
          <w:highlight w:val="none"/>
        </w:rPr>
        <w:t xml:space="preserve"> 小型综合管廊内管线设计应考虑抗震、收缩、膨胀和防腐等相应技术措施应符合现行《建筑与市政工程抗震通用</w:t>
      </w:r>
      <w:r>
        <w:rPr>
          <w:rFonts w:hint="eastAsia" w:ascii="Times New Roman" w:hAnsi="Times New Roman"/>
          <w:color w:val="auto"/>
          <w:highlight w:val="none"/>
          <w:lang w:val="en-US" w:eastAsia="zh-CN"/>
        </w:rPr>
        <w:t>规范</w:t>
      </w:r>
      <w:r>
        <w:rPr>
          <w:rFonts w:hint="eastAsia" w:ascii="Times New Roman" w:hAnsi="Times New Roman"/>
          <w:color w:val="auto"/>
          <w:highlight w:val="none"/>
        </w:rPr>
        <w:t>》GB55002。</w:t>
      </w:r>
    </w:p>
    <w:p w14:paraId="6F39D9D5">
      <w:pPr>
        <w:rPr>
          <w:rFonts w:ascii="Times New Roman" w:hAnsi="Times New Roman"/>
          <w:color w:val="auto"/>
          <w:highlight w:val="none"/>
        </w:rPr>
      </w:pPr>
      <w:r>
        <w:rPr>
          <w:rFonts w:hint="eastAsia" w:ascii="黑体" w:hAnsi="黑体" w:eastAsia="黑体" w:cs="黑体"/>
          <w:b/>
          <w:bCs/>
          <w:color w:val="auto"/>
          <w:highlight w:val="none"/>
        </w:rPr>
        <w:t xml:space="preserve">6.1.6 </w:t>
      </w:r>
      <w:r>
        <w:rPr>
          <w:rFonts w:hint="eastAsia" w:ascii="Times New Roman" w:hAnsi="Times New Roman"/>
          <w:color w:val="auto"/>
          <w:highlight w:val="none"/>
        </w:rPr>
        <w:t>小型综合管廊内</w:t>
      </w:r>
      <w:r>
        <w:rPr>
          <w:rFonts w:hint="eastAsia" w:ascii="黑体" w:hAnsi="黑体" w:cs="黑体"/>
          <w:color w:val="auto"/>
          <w:highlight w:val="none"/>
        </w:rPr>
        <w:t>给水、再生水、压力污水</w:t>
      </w:r>
      <w:r>
        <w:rPr>
          <w:rFonts w:hint="eastAsia" w:ascii="Times New Roman" w:hAnsi="Times New Roman"/>
          <w:color w:val="auto"/>
          <w:highlight w:val="none"/>
        </w:rPr>
        <w:t>宜考虑与土建工程封闭前同步入廊实施。</w:t>
      </w:r>
    </w:p>
    <w:p w14:paraId="5ED871B8">
      <w:pPr>
        <w:rPr>
          <w:rFonts w:hint="eastAsia" w:ascii="Times New Roman" w:hAnsi="Times New Roman"/>
          <w:color w:val="auto"/>
          <w:highlight w:val="none"/>
        </w:rPr>
      </w:pPr>
      <w:r>
        <w:rPr>
          <w:rFonts w:hint="eastAsia" w:ascii="黑体" w:hAnsi="黑体" w:eastAsia="黑体" w:cs="黑体"/>
          <w:b/>
          <w:bCs/>
          <w:color w:val="auto"/>
          <w:highlight w:val="none"/>
        </w:rPr>
        <w:t xml:space="preserve">6.1.7 </w:t>
      </w:r>
      <w:r>
        <w:rPr>
          <w:rFonts w:hint="eastAsia" w:ascii="Times New Roman" w:hAnsi="Times New Roman"/>
          <w:color w:val="auto"/>
          <w:highlight w:val="none"/>
        </w:rPr>
        <w:t>管线施工与验收应符合现行国家标准《给水排水管道工程施工及验收规范》GB50268的有关规定及主管部门管理规定。</w:t>
      </w:r>
    </w:p>
    <w:p w14:paraId="1966C17C">
      <w:pPr>
        <w:pStyle w:val="34"/>
        <w:spacing w:before="156" w:beforeLines="50" w:after="156" w:afterLines="50" w:line="400" w:lineRule="exact"/>
        <w:outlineLvl w:val="2"/>
        <w:rPr>
          <w:rFonts w:ascii="黑体" w:hAnsi="黑体" w:cs="黑体"/>
          <w:color w:val="auto"/>
          <w:sz w:val="21"/>
          <w:szCs w:val="21"/>
          <w:highlight w:val="none"/>
        </w:rPr>
      </w:pPr>
      <w:bookmarkStart w:id="91" w:name="_Toc12657"/>
      <w:bookmarkStart w:id="92" w:name="_Toc17901"/>
      <w:bookmarkStart w:id="93" w:name="_Toc26470"/>
      <w:r>
        <w:rPr>
          <w:rFonts w:hint="eastAsia" w:ascii="黑体" w:hAnsi="黑体" w:cs="黑体"/>
          <w:color w:val="auto"/>
          <w:sz w:val="21"/>
          <w:szCs w:val="21"/>
          <w:highlight w:val="none"/>
        </w:rPr>
        <w:t>6.2 给水、再生水管道</w:t>
      </w:r>
      <w:bookmarkEnd w:id="91"/>
      <w:bookmarkEnd w:id="92"/>
      <w:bookmarkEnd w:id="93"/>
    </w:p>
    <w:p w14:paraId="16196454">
      <w:pPr>
        <w:rPr>
          <w:rFonts w:ascii="Times New Roman" w:hAnsi="Times New Roman"/>
          <w:color w:val="auto"/>
          <w:highlight w:val="none"/>
        </w:rPr>
      </w:pPr>
      <w:r>
        <w:rPr>
          <w:rFonts w:hint="eastAsia" w:ascii="黑体" w:hAnsi="黑体" w:eastAsia="黑体" w:cs="黑体"/>
          <w:b/>
          <w:bCs/>
          <w:color w:val="auto"/>
          <w:highlight w:val="none"/>
        </w:rPr>
        <w:t xml:space="preserve">6.2.1 </w:t>
      </w:r>
      <w:r>
        <w:rPr>
          <w:rFonts w:hint="eastAsia" w:ascii="Times New Roman" w:hAnsi="Times New Roman"/>
          <w:color w:val="auto"/>
          <w:highlight w:val="none"/>
        </w:rPr>
        <w:t>给水、再生水管道设计应符合现行国家标准《室外给水设计标准》GB50013和《城镇污水再生利用工程设计规范》GB50335的有关规定。</w:t>
      </w:r>
    </w:p>
    <w:p w14:paraId="684C92D5">
      <w:pPr>
        <w:rPr>
          <w:rFonts w:hint="eastAsia" w:ascii="Times New Roman" w:hAnsi="Times New Roman"/>
          <w:color w:val="auto"/>
          <w:highlight w:val="none"/>
        </w:rPr>
      </w:pPr>
      <w:r>
        <w:rPr>
          <w:rFonts w:hint="eastAsia" w:ascii="黑体" w:hAnsi="黑体" w:eastAsia="黑体" w:cs="黑体"/>
          <w:b/>
          <w:bCs/>
          <w:color w:val="auto"/>
          <w:highlight w:val="none"/>
        </w:rPr>
        <w:t>6.2.2</w:t>
      </w:r>
      <w:r>
        <w:rPr>
          <w:rFonts w:hint="eastAsia" w:ascii="Times New Roman" w:hAnsi="Times New Roman"/>
          <w:color w:val="auto"/>
          <w:highlight w:val="none"/>
        </w:rPr>
        <w:t xml:space="preserve"> 给水、再生水优先使用单节管道长度≤6m的离心球墨铸铁管。接口宜采用刚性连接,钢管可采用沟槽式连接。</w:t>
      </w:r>
    </w:p>
    <w:p w14:paraId="7C9BA530">
      <w:pPr>
        <w:rPr>
          <w:rFonts w:hint="eastAsia" w:ascii="Times New Roman" w:hAnsi="Times New Roman"/>
          <w:color w:val="auto"/>
          <w:highlight w:val="none"/>
        </w:rPr>
      </w:pPr>
      <w:r>
        <w:rPr>
          <w:rFonts w:hint="eastAsia" w:ascii="黑体" w:hAnsi="黑体" w:eastAsia="黑体" w:cs="黑体"/>
          <w:b/>
          <w:bCs/>
          <w:color w:val="auto"/>
          <w:highlight w:val="none"/>
        </w:rPr>
        <w:t>6.2.3</w:t>
      </w:r>
      <w:r>
        <w:rPr>
          <w:rFonts w:hint="eastAsia" w:ascii="Times New Roman" w:hAnsi="Times New Roman"/>
          <w:color w:val="auto"/>
          <w:highlight w:val="none"/>
        </w:rPr>
        <w:t xml:space="preserve"> 管道支撑的形式、间距、固定方式应通过计算确定，优先使用质量可靠的成品支架、钢支架进行固定安装管道，在管道转弯、三通、阀门等处需设置管道支墩，支墩宜优先采用成品钢支墩，支墩与管道接口的净距宜为0.5m，最大不超过1m。并应符合现行国家标准《给水排水工程管道结构设计规范》GB50332的有关规定。</w:t>
      </w:r>
    </w:p>
    <w:p w14:paraId="61662EA8">
      <w:pPr>
        <w:rPr>
          <w:rFonts w:hint="eastAsia" w:ascii="Times New Roman" w:hAnsi="Times New Roman"/>
          <w:color w:val="auto"/>
          <w:highlight w:val="none"/>
          <w:lang w:eastAsia="zh-CN"/>
        </w:rPr>
      </w:pPr>
      <w:r>
        <w:rPr>
          <w:rFonts w:hint="eastAsia" w:ascii="Times New Roman" w:hAnsi="Times New Roman"/>
          <w:color w:val="auto"/>
          <w:highlight w:val="none"/>
          <w:lang w:eastAsia="zh-CN"/>
        </w:rPr>
        <w:t>【</w:t>
      </w:r>
      <w:r>
        <w:rPr>
          <w:rFonts w:hint="eastAsia" w:ascii="Times New Roman" w:hAnsi="Times New Roman"/>
          <w:b/>
          <w:bCs/>
          <w:color w:val="auto"/>
          <w:highlight w:val="none"/>
          <w:lang w:val="en-US" w:eastAsia="zh-CN"/>
        </w:rPr>
        <w:t>条文说明：</w:t>
      </w:r>
      <w:r>
        <w:rPr>
          <w:rFonts w:hint="eastAsia" w:ascii="Times New Roman" w:hAnsi="Times New Roman"/>
          <w:color w:val="auto"/>
          <w:highlight w:val="none"/>
        </w:rPr>
        <w:t>所有支撑形式、间距及固定方式需通过结构力学计算确定，考虑管道自重、介质重量、温度变形、地震荷载等工况，优先采用标准化生产的成品支架确保质量可控，安装效率高，减少现场焊接缺陷风险。在管道转弯点、三通分支处、阀门等产生推力、弯矩的位置需设置管道支墩，避免接口受支墩约束导致应力集中，同时控制管道悬臂长度，采用刚性接口经验算证明推力可由管材自身或接口承担的可减少支墩的设置减少占用空间。</w:t>
      </w:r>
      <w:r>
        <w:rPr>
          <w:rFonts w:hint="eastAsia" w:ascii="Times New Roman" w:hAnsi="Times New Roman"/>
          <w:color w:val="auto"/>
          <w:highlight w:val="none"/>
          <w:lang w:eastAsia="zh-CN"/>
        </w:rPr>
        <w:t>】</w:t>
      </w:r>
    </w:p>
    <w:p w14:paraId="4C1CD002">
      <w:pPr>
        <w:rPr>
          <w:rFonts w:hint="eastAsia" w:ascii="Times New Roman" w:hAnsi="Times New Roman"/>
          <w:color w:val="auto"/>
          <w:highlight w:val="none"/>
        </w:rPr>
      </w:pPr>
      <w:r>
        <w:rPr>
          <w:rFonts w:hint="eastAsia" w:ascii="黑体" w:hAnsi="黑体" w:eastAsia="黑体" w:cs="黑体"/>
          <w:b/>
          <w:bCs/>
          <w:color w:val="auto"/>
          <w:highlight w:val="none"/>
        </w:rPr>
        <w:t>6.2.</w:t>
      </w:r>
      <w:r>
        <w:rPr>
          <w:rFonts w:hint="eastAsia" w:ascii="黑体" w:hAnsi="黑体" w:eastAsia="黑体" w:cs="黑体"/>
          <w:b/>
          <w:bCs/>
          <w:color w:val="auto"/>
          <w:highlight w:val="none"/>
          <w:lang w:val="en-US" w:eastAsia="zh-CN"/>
        </w:rPr>
        <w:t>4</w:t>
      </w:r>
      <w:r>
        <w:rPr>
          <w:rFonts w:hint="eastAsia" w:ascii="黑体" w:hAnsi="黑体" w:eastAsia="黑体" w:cs="黑体"/>
          <w:b/>
          <w:bCs/>
          <w:color w:val="auto"/>
          <w:highlight w:val="none"/>
        </w:rPr>
        <w:t xml:space="preserve"> </w:t>
      </w:r>
      <w:r>
        <w:rPr>
          <w:rFonts w:hint="eastAsia" w:ascii="Times New Roman" w:hAnsi="Times New Roman"/>
          <w:color w:val="auto"/>
          <w:highlight w:val="none"/>
        </w:rPr>
        <w:t>给水、再生水管道进入小型综合管廊，应设置压力、渗漏监测系统。</w:t>
      </w:r>
    </w:p>
    <w:p w14:paraId="0864CC73">
      <w:pPr>
        <w:rPr>
          <w:rFonts w:hint="eastAsia" w:ascii="Times New Roman" w:hAnsi="Times New Roman"/>
          <w:color w:val="auto"/>
          <w:highlight w:val="none"/>
        </w:rPr>
      </w:pPr>
      <w:r>
        <w:rPr>
          <w:rFonts w:hint="eastAsia" w:ascii="黑体" w:hAnsi="黑体" w:eastAsia="黑体" w:cs="黑体"/>
          <w:b/>
          <w:bCs/>
          <w:color w:val="auto"/>
          <w:highlight w:val="none"/>
        </w:rPr>
        <w:t>6.2.</w:t>
      </w:r>
      <w:r>
        <w:rPr>
          <w:rFonts w:hint="eastAsia" w:ascii="黑体" w:hAnsi="黑体" w:eastAsia="黑体" w:cs="黑体"/>
          <w:b/>
          <w:bCs/>
          <w:color w:val="auto"/>
          <w:highlight w:val="none"/>
          <w:lang w:val="en-US" w:eastAsia="zh-CN"/>
        </w:rPr>
        <w:t>5</w:t>
      </w:r>
      <w:r>
        <w:rPr>
          <w:rFonts w:hint="eastAsia" w:ascii="黑体" w:hAnsi="黑体" w:eastAsia="黑体" w:cs="黑体"/>
          <w:b/>
          <w:bCs/>
          <w:color w:val="auto"/>
          <w:highlight w:val="none"/>
        </w:rPr>
        <w:t xml:space="preserve"> </w:t>
      </w:r>
      <w:r>
        <w:rPr>
          <w:rFonts w:hint="eastAsia" w:ascii="Times New Roman" w:hAnsi="Times New Roman"/>
          <w:color w:val="auto"/>
          <w:highlight w:val="none"/>
        </w:rPr>
        <w:t>给水、再生水管道宜在管廊集水坑附近布置泄压、泄水装置。</w:t>
      </w:r>
    </w:p>
    <w:p w14:paraId="2A67D9FA">
      <w:pPr>
        <w:pStyle w:val="34"/>
        <w:spacing w:before="156" w:beforeLines="50" w:after="156" w:afterLines="50"/>
        <w:outlineLvl w:val="2"/>
        <w:rPr>
          <w:rFonts w:hint="eastAsia" w:ascii="黑体" w:hAnsi="黑体" w:cs="黑体"/>
          <w:color w:val="auto"/>
          <w:sz w:val="21"/>
          <w:szCs w:val="21"/>
          <w:highlight w:val="none"/>
          <w:lang w:eastAsia="zh-CN"/>
        </w:rPr>
      </w:pPr>
      <w:bookmarkStart w:id="94" w:name="_Toc20029"/>
      <w:bookmarkStart w:id="95" w:name="_Toc25717"/>
      <w:r>
        <w:rPr>
          <w:rFonts w:hint="eastAsia" w:ascii="黑体" w:hAnsi="黑体" w:cs="黑体"/>
          <w:color w:val="auto"/>
          <w:sz w:val="21"/>
          <w:szCs w:val="21"/>
          <w:highlight w:val="none"/>
          <w:lang w:val="en-US" w:eastAsia="zh-CN"/>
        </w:rPr>
        <w:t xml:space="preserve">6.3 </w:t>
      </w:r>
      <w:r>
        <w:rPr>
          <w:rFonts w:hint="eastAsia" w:ascii="黑体" w:hAnsi="黑体" w:cs="黑体"/>
          <w:color w:val="auto"/>
          <w:sz w:val="21"/>
          <w:szCs w:val="21"/>
          <w:highlight w:val="none"/>
          <w:lang w:eastAsia="zh-CN"/>
        </w:rPr>
        <w:t>排水管渠</w:t>
      </w:r>
      <w:bookmarkEnd w:id="94"/>
      <w:bookmarkEnd w:id="95"/>
    </w:p>
    <w:p w14:paraId="66752538">
      <w:pPr>
        <w:rPr>
          <w:rFonts w:hint="default" w:ascii="Times New Roman" w:hAnsi="Times New Roman" w:eastAsia="宋体" w:cs="Times New Roman"/>
          <w:b w:val="0"/>
          <w:bCs w:val="0"/>
          <w:color w:val="auto"/>
          <w:highlight w:val="none"/>
          <w:lang w:val="en-US" w:eastAsia="zh-CN"/>
        </w:rPr>
      </w:pPr>
      <w:r>
        <w:rPr>
          <w:rFonts w:hint="eastAsia" w:ascii="黑体" w:hAnsi="黑体" w:eastAsia="黑体" w:cs="黑体"/>
          <w:b/>
          <w:bCs/>
          <w:color w:val="auto"/>
          <w:highlight w:val="none"/>
          <w:lang w:val="en-US" w:eastAsia="zh-CN"/>
        </w:rPr>
        <w:t>6</w:t>
      </w:r>
      <w:r>
        <w:rPr>
          <w:rFonts w:hint="eastAsia" w:ascii="黑体" w:hAnsi="黑体" w:eastAsia="黑体" w:cs="黑体"/>
          <w:b/>
          <w:bCs/>
          <w:color w:val="auto"/>
          <w:highlight w:val="none"/>
          <w:lang w:eastAsia="zh-CN"/>
        </w:rPr>
        <w:t>.3.1</w:t>
      </w:r>
      <w:r>
        <w:rPr>
          <w:rFonts w:hint="eastAsia" w:ascii="黑体" w:hAnsi="黑体" w:eastAsia="黑体" w:cs="黑体"/>
          <w:b/>
          <w:bCs/>
          <w:color w:val="auto"/>
          <w:highlight w:val="none"/>
          <w:lang w:val="en-US" w:eastAsia="zh-CN"/>
        </w:rPr>
        <w:t xml:space="preserve"> </w:t>
      </w:r>
      <w:r>
        <w:rPr>
          <w:rFonts w:hint="eastAsia" w:ascii="Times New Roman" w:hAnsi="Times New Roman" w:eastAsia="宋体" w:cs="Times New Roman"/>
          <w:b w:val="0"/>
          <w:bCs w:val="0"/>
          <w:color w:val="auto"/>
          <w:highlight w:val="none"/>
          <w:lang w:eastAsia="zh-CN"/>
        </w:rPr>
        <w:t>雨水管渠、污水管道设计应符合</w:t>
      </w:r>
      <w:r>
        <w:rPr>
          <w:rFonts w:hint="eastAsia" w:ascii="Times New Roman" w:hAnsi="Times New Roman" w:eastAsia="宋体" w:cs="Times New Roman"/>
          <w:b w:val="0"/>
          <w:bCs w:val="0"/>
          <w:color w:val="auto"/>
          <w:highlight w:val="none"/>
          <w:lang w:val="en-US" w:eastAsia="zh-CN"/>
        </w:rPr>
        <w:t xml:space="preserve">现行国家标准《室外排水设计标准》 </w:t>
      </w:r>
      <w:r>
        <w:rPr>
          <w:rFonts w:hint="eastAsia" w:ascii="Times New Roman" w:hAnsi="Times New Roman" w:eastAsia="宋体" w:cs="Times New Roman"/>
          <w:b w:val="0"/>
          <w:bCs w:val="0"/>
          <w:color w:val="auto"/>
          <w:highlight w:val="none"/>
          <w:lang w:eastAsia="zh-CN"/>
        </w:rPr>
        <w:t>GB 50014的有关规定。</w:t>
      </w:r>
      <w:r>
        <w:rPr>
          <w:rFonts w:hint="eastAsia" w:ascii="Times New Roman" w:hAnsi="Times New Roman" w:cs="Times New Roman"/>
          <w:b w:val="0"/>
          <w:bCs w:val="0"/>
          <w:color w:val="auto"/>
          <w:highlight w:val="none"/>
          <w:lang w:val="en-US" w:eastAsia="zh-CN"/>
        </w:rPr>
        <w:t>雨水采用独立成舱方式，污水宜采用压力管。</w:t>
      </w:r>
    </w:p>
    <w:p w14:paraId="06A72A83">
      <w:pPr>
        <w:rPr>
          <w:rFonts w:hint="eastAsia" w:ascii="Times New Roman" w:hAnsi="Times New Roman" w:eastAsia="宋体" w:cs="Times New Roman"/>
          <w:b w:val="0"/>
          <w:bCs w:val="0"/>
          <w:color w:val="auto"/>
          <w:highlight w:val="none"/>
          <w:lang w:eastAsia="zh-CN"/>
        </w:rPr>
      </w:pPr>
      <w:r>
        <w:rPr>
          <w:rFonts w:hint="eastAsia" w:ascii="黑体" w:hAnsi="黑体" w:eastAsia="黑体" w:cs="黑体"/>
          <w:b/>
          <w:bCs/>
          <w:color w:val="auto"/>
          <w:highlight w:val="none"/>
          <w:lang w:val="en-US" w:eastAsia="zh-CN"/>
        </w:rPr>
        <w:t>6</w:t>
      </w:r>
      <w:r>
        <w:rPr>
          <w:rFonts w:hint="eastAsia" w:ascii="黑体" w:hAnsi="黑体" w:eastAsia="黑体" w:cs="黑体"/>
          <w:b/>
          <w:bCs/>
          <w:color w:val="auto"/>
          <w:highlight w:val="none"/>
          <w:lang w:eastAsia="zh-CN"/>
        </w:rPr>
        <w:t>.3.2</w:t>
      </w:r>
      <w:r>
        <w:rPr>
          <w:rFonts w:hint="eastAsia" w:ascii="黑体" w:hAnsi="黑体" w:eastAsia="黑体" w:cs="黑体"/>
          <w:b/>
          <w:bCs/>
          <w:color w:val="auto"/>
          <w:highlight w:val="none"/>
          <w:lang w:val="en-US" w:eastAsia="zh-CN"/>
        </w:rPr>
        <w:t xml:space="preserve"> </w:t>
      </w:r>
      <w:r>
        <w:rPr>
          <w:rFonts w:hint="eastAsia" w:ascii="Times New Roman" w:hAnsi="Times New Roman" w:eastAsia="宋体" w:cs="Times New Roman"/>
          <w:b w:val="0"/>
          <w:bCs w:val="0"/>
          <w:color w:val="auto"/>
          <w:highlight w:val="none"/>
          <w:lang w:eastAsia="zh-CN"/>
        </w:rPr>
        <w:t>雨水管渠、污水管道应按规划最高日最高时设计流量确定其断面尺寸,并应按近期流量校核流速。</w:t>
      </w:r>
    </w:p>
    <w:p w14:paraId="27477F85">
      <w:pPr>
        <w:rPr>
          <w:rFonts w:hint="eastAsia" w:ascii="Times New Roman" w:hAnsi="Times New Roman" w:eastAsia="宋体" w:cs="Times New Roman"/>
          <w:b w:val="0"/>
          <w:bCs w:val="0"/>
          <w:color w:val="auto"/>
          <w:highlight w:val="none"/>
          <w:lang w:eastAsia="zh-CN"/>
        </w:rPr>
      </w:pPr>
      <w:r>
        <w:rPr>
          <w:rFonts w:hint="eastAsia" w:ascii="黑体" w:hAnsi="黑体" w:eastAsia="黑体" w:cs="黑体"/>
          <w:b/>
          <w:bCs/>
          <w:color w:val="auto"/>
          <w:highlight w:val="none"/>
          <w:lang w:val="en-US" w:eastAsia="zh-CN"/>
        </w:rPr>
        <w:t xml:space="preserve">6.3.3 </w:t>
      </w:r>
      <w:r>
        <w:rPr>
          <w:rFonts w:hint="eastAsia" w:ascii="Times New Roman" w:hAnsi="Times New Roman" w:eastAsia="宋体" w:cs="Times New Roman"/>
          <w:b w:val="0"/>
          <w:bCs w:val="0"/>
          <w:color w:val="auto"/>
          <w:highlight w:val="none"/>
          <w:lang w:eastAsia="zh-CN"/>
        </w:rPr>
        <w:t>排水管渠进入</w:t>
      </w:r>
      <w:r>
        <w:rPr>
          <w:rFonts w:hint="eastAsia" w:ascii="Times New Roman" w:hAnsi="Times New Roman" w:cs="Times New Roman"/>
          <w:b w:val="0"/>
          <w:bCs w:val="0"/>
          <w:color w:val="auto"/>
          <w:highlight w:val="none"/>
          <w:lang w:val="en-US" w:eastAsia="zh-CN"/>
        </w:rPr>
        <w:t>小型</w:t>
      </w:r>
      <w:r>
        <w:rPr>
          <w:rFonts w:hint="eastAsia" w:ascii="Times New Roman" w:hAnsi="Times New Roman" w:eastAsia="宋体" w:cs="Times New Roman"/>
          <w:b w:val="0"/>
          <w:bCs w:val="0"/>
          <w:color w:val="auto"/>
          <w:highlight w:val="none"/>
          <w:lang w:eastAsia="zh-CN"/>
        </w:rPr>
        <w:t>综合管廊前</w:t>
      </w:r>
      <w:r>
        <w:rPr>
          <w:rFonts w:hint="eastAsia" w:ascii="Times New Roman" w:hAnsi="Times New Roman" w:cs="Times New Roman"/>
          <w:b w:val="0"/>
          <w:bCs w:val="0"/>
          <w:color w:val="auto"/>
          <w:highlight w:val="none"/>
          <w:lang w:eastAsia="zh-CN"/>
        </w:rPr>
        <w:t>，</w:t>
      </w:r>
      <w:r>
        <w:rPr>
          <w:rFonts w:hint="eastAsia" w:ascii="Times New Roman" w:hAnsi="Times New Roman" w:eastAsia="宋体" w:cs="Times New Roman"/>
          <w:b w:val="0"/>
          <w:bCs w:val="0"/>
          <w:color w:val="auto"/>
          <w:highlight w:val="none"/>
          <w:lang w:eastAsia="zh-CN"/>
        </w:rPr>
        <w:t>应设置检修闸门或闸槽。</w:t>
      </w:r>
      <w:r>
        <w:rPr>
          <w:rFonts w:hint="eastAsia" w:ascii="Times New Roman" w:hAnsi="Times New Roman" w:eastAsia="宋体" w:cs="Times New Roman"/>
          <w:b w:val="0"/>
          <w:bCs w:val="0"/>
          <w:color w:val="auto"/>
          <w:highlight w:val="none"/>
          <w:lang w:val="en-US" w:eastAsia="zh-CN"/>
        </w:rPr>
        <w:t>重力</w:t>
      </w:r>
      <w:r>
        <w:rPr>
          <w:rFonts w:hint="eastAsia" w:ascii="Times New Roman" w:hAnsi="Times New Roman" w:eastAsia="宋体" w:cs="Times New Roman"/>
          <w:b w:val="0"/>
          <w:bCs w:val="0"/>
          <w:color w:val="auto"/>
          <w:highlight w:val="none"/>
          <w:lang w:eastAsia="zh-CN"/>
        </w:rPr>
        <w:t>排水管渠进人</w:t>
      </w:r>
      <w:r>
        <w:rPr>
          <w:rFonts w:hint="eastAsia" w:ascii="Times New Roman" w:hAnsi="Times New Roman" w:cs="Times New Roman"/>
          <w:b w:val="0"/>
          <w:bCs w:val="0"/>
          <w:color w:val="auto"/>
          <w:highlight w:val="none"/>
          <w:lang w:val="en-US" w:eastAsia="zh-CN"/>
        </w:rPr>
        <w:t>小型</w:t>
      </w:r>
      <w:r>
        <w:rPr>
          <w:rFonts w:hint="eastAsia" w:ascii="Times New Roman" w:hAnsi="Times New Roman" w:eastAsia="宋体" w:cs="Times New Roman"/>
          <w:b w:val="0"/>
          <w:bCs w:val="0"/>
          <w:color w:val="auto"/>
          <w:highlight w:val="none"/>
          <w:lang w:eastAsia="zh-CN"/>
        </w:rPr>
        <w:t>综合管廊前，应设置沉泥井</w:t>
      </w:r>
      <w:r>
        <w:rPr>
          <w:rFonts w:hint="eastAsia" w:ascii="Times New Roman" w:hAnsi="Times New Roman" w:cs="Times New Roman"/>
          <w:b w:val="0"/>
          <w:bCs w:val="0"/>
          <w:color w:val="auto"/>
          <w:highlight w:val="none"/>
          <w:lang w:eastAsia="zh-CN"/>
        </w:rPr>
        <w:t>。</w:t>
      </w:r>
    </w:p>
    <w:p w14:paraId="5AE7F166">
      <w:pPr>
        <w:rPr>
          <w:rFonts w:hint="eastAsia" w:ascii="Times New Roman" w:hAnsi="Times New Roman" w:eastAsia="宋体" w:cs="Times New Roman"/>
          <w:b w:val="0"/>
          <w:bCs w:val="0"/>
          <w:color w:val="auto"/>
          <w:highlight w:val="none"/>
          <w:lang w:eastAsia="zh-CN"/>
        </w:rPr>
      </w:pPr>
      <w:r>
        <w:rPr>
          <w:rFonts w:hint="eastAsia" w:ascii="黑体" w:hAnsi="黑体" w:eastAsia="黑体" w:cs="黑体"/>
          <w:b/>
          <w:bCs/>
          <w:color w:val="auto"/>
          <w:highlight w:val="none"/>
          <w:lang w:val="en-US" w:eastAsia="zh-CN"/>
        </w:rPr>
        <w:t xml:space="preserve">6.3.4 </w:t>
      </w:r>
      <w:r>
        <w:rPr>
          <w:rFonts w:hint="eastAsia" w:ascii="Times New Roman" w:hAnsi="Times New Roman" w:eastAsia="宋体" w:cs="Times New Roman"/>
          <w:b w:val="0"/>
          <w:bCs w:val="0"/>
          <w:color w:val="auto"/>
          <w:highlight w:val="none"/>
          <w:lang w:eastAsia="zh-CN"/>
        </w:rPr>
        <w:t>污水管道可选用钢管、球墨铸铁管、塑料管等。压力管道宜采用刚性接口</w:t>
      </w:r>
      <w:r>
        <w:rPr>
          <w:rFonts w:hint="eastAsia" w:ascii="Times New Roman" w:hAnsi="Times New Roman" w:cs="Times New Roman"/>
          <w:b w:val="0"/>
          <w:bCs w:val="0"/>
          <w:color w:val="auto"/>
          <w:highlight w:val="none"/>
          <w:lang w:eastAsia="zh-CN"/>
        </w:rPr>
        <w:t>，</w:t>
      </w:r>
      <w:r>
        <w:rPr>
          <w:rFonts w:hint="eastAsia" w:ascii="Times New Roman" w:hAnsi="Times New Roman" w:eastAsia="宋体" w:cs="Times New Roman"/>
          <w:b w:val="0"/>
          <w:bCs w:val="0"/>
          <w:color w:val="auto"/>
          <w:highlight w:val="none"/>
          <w:lang w:eastAsia="zh-CN"/>
        </w:rPr>
        <w:t>钢管可采用沟槽式连接。</w:t>
      </w:r>
    </w:p>
    <w:p w14:paraId="16985156">
      <w:pPr>
        <w:rPr>
          <w:rFonts w:hint="eastAsia" w:ascii="Times New Roman" w:hAnsi="Times New Roman" w:eastAsia="宋体" w:cs="Times New Roman"/>
          <w:b w:val="0"/>
          <w:bCs w:val="0"/>
          <w:color w:val="auto"/>
          <w:highlight w:val="none"/>
          <w:lang w:val="en-US" w:eastAsia="zh-CN"/>
        </w:rPr>
      </w:pPr>
      <w:r>
        <w:rPr>
          <w:rFonts w:hint="eastAsia" w:ascii="黑体" w:hAnsi="黑体" w:eastAsia="黑体" w:cs="黑体"/>
          <w:b/>
          <w:bCs/>
          <w:color w:val="auto"/>
          <w:highlight w:val="none"/>
          <w:lang w:val="en-US" w:eastAsia="zh-CN"/>
        </w:rPr>
        <w:t>6</w:t>
      </w:r>
      <w:r>
        <w:rPr>
          <w:rFonts w:hint="eastAsia" w:ascii="黑体" w:hAnsi="黑体" w:eastAsia="黑体" w:cs="黑体"/>
          <w:b/>
          <w:bCs/>
          <w:color w:val="auto"/>
          <w:highlight w:val="none"/>
          <w:lang w:eastAsia="zh-CN"/>
        </w:rPr>
        <w:t>.3.</w:t>
      </w:r>
      <w:r>
        <w:rPr>
          <w:rFonts w:hint="eastAsia" w:ascii="黑体" w:hAnsi="黑体" w:eastAsia="黑体" w:cs="黑体"/>
          <w:b/>
          <w:bCs/>
          <w:color w:val="auto"/>
          <w:highlight w:val="none"/>
          <w:lang w:val="en-US" w:eastAsia="zh-CN"/>
        </w:rPr>
        <w:t xml:space="preserve">5 </w:t>
      </w:r>
      <w:r>
        <w:rPr>
          <w:rFonts w:hint="eastAsia" w:ascii="Times New Roman" w:hAnsi="Times New Roman" w:eastAsia="宋体" w:cs="Times New Roman"/>
          <w:b w:val="0"/>
          <w:bCs w:val="0"/>
          <w:color w:val="auto"/>
          <w:highlight w:val="none"/>
          <w:lang w:val="en-US" w:eastAsia="zh-CN"/>
        </w:rPr>
        <w:t>污水管道支撑的形式、间距、固定方式应通过计算确定</w:t>
      </w:r>
      <w:r>
        <w:rPr>
          <w:rFonts w:hint="eastAsia" w:ascii="Times New Roman" w:hAnsi="Times New Roman" w:cs="Times New Roman"/>
          <w:b w:val="0"/>
          <w:bCs w:val="0"/>
          <w:color w:val="auto"/>
          <w:highlight w:val="none"/>
          <w:lang w:val="en-US" w:eastAsia="zh-CN"/>
        </w:rPr>
        <w:t>，</w:t>
      </w:r>
      <w:r>
        <w:rPr>
          <w:rFonts w:hint="eastAsia" w:ascii="Times New Roman" w:hAnsi="Times New Roman" w:eastAsia="宋体" w:cs="Times New Roman"/>
          <w:b w:val="0"/>
          <w:bCs w:val="0"/>
          <w:color w:val="auto"/>
          <w:highlight w:val="none"/>
          <w:lang w:val="en-US" w:eastAsia="zh-CN"/>
        </w:rPr>
        <w:t>并应符合现行国家标准《给水排水工程管道结构设计规范》GB50332的有关规定。</w:t>
      </w:r>
    </w:p>
    <w:p w14:paraId="0B8900DD">
      <w:pPr>
        <w:rPr>
          <w:rFonts w:hint="eastAsia" w:ascii="Times New Roman" w:hAnsi="Times New Roman" w:eastAsia="宋体" w:cs="Times New Roman"/>
          <w:b w:val="0"/>
          <w:bCs w:val="0"/>
          <w:color w:val="auto"/>
          <w:highlight w:val="none"/>
          <w:lang w:val="en-US" w:eastAsia="zh-CN"/>
        </w:rPr>
      </w:pPr>
      <w:r>
        <w:rPr>
          <w:rFonts w:hint="eastAsia" w:ascii="黑体" w:hAnsi="黑体" w:eastAsia="黑体" w:cs="黑体"/>
          <w:b/>
          <w:bCs/>
          <w:color w:val="auto"/>
          <w:highlight w:val="none"/>
          <w:lang w:val="en-US" w:eastAsia="zh-CN"/>
        </w:rPr>
        <w:t xml:space="preserve">6.3.6 </w:t>
      </w:r>
      <w:r>
        <w:rPr>
          <w:rFonts w:hint="eastAsia" w:ascii="Times New Roman" w:hAnsi="Times New Roman" w:eastAsia="宋体" w:cs="Times New Roman"/>
          <w:b w:val="0"/>
          <w:bCs w:val="0"/>
          <w:color w:val="auto"/>
          <w:highlight w:val="none"/>
          <w:lang w:eastAsia="zh-CN"/>
        </w:rPr>
        <w:t>污水管道系统应严格密闭。管道应进行功能性试验，并应符合</w:t>
      </w:r>
      <w:r>
        <w:rPr>
          <w:rFonts w:hint="eastAsia" w:ascii="Times New Roman" w:hAnsi="Times New Roman" w:eastAsia="宋体" w:cs="Times New Roman"/>
          <w:b w:val="0"/>
          <w:bCs w:val="0"/>
          <w:color w:val="auto"/>
          <w:highlight w:val="none"/>
          <w:lang w:val="en-US" w:eastAsia="zh-CN"/>
        </w:rPr>
        <w:t>现行国家标准</w:t>
      </w:r>
      <w:r>
        <w:rPr>
          <w:rFonts w:hint="eastAsia" w:ascii="Times New Roman" w:hAnsi="Times New Roman" w:eastAsia="宋体" w:cs="Times New Roman"/>
          <w:b w:val="0"/>
          <w:bCs w:val="0"/>
          <w:color w:val="auto"/>
          <w:highlight w:val="none"/>
          <w:lang w:eastAsia="zh-CN"/>
        </w:rPr>
        <w:t>《给水排水管道工程施工及验收规范》GB50268的有关规定。</w:t>
      </w:r>
    </w:p>
    <w:p w14:paraId="5970A01A">
      <w:pPr>
        <w:rPr>
          <w:rFonts w:hint="eastAsia" w:ascii="Times New Roman" w:hAnsi="Times New Roman" w:eastAsia="宋体" w:cs="Times New Roman"/>
          <w:b w:val="0"/>
          <w:bCs w:val="0"/>
          <w:color w:val="auto"/>
          <w:highlight w:val="none"/>
          <w:lang w:val="en-US" w:eastAsia="zh-CN"/>
        </w:rPr>
      </w:pPr>
      <w:r>
        <w:rPr>
          <w:rFonts w:hint="eastAsia" w:ascii="黑体" w:hAnsi="黑体" w:eastAsia="黑体" w:cs="黑体"/>
          <w:b/>
          <w:bCs/>
          <w:color w:val="auto"/>
          <w:highlight w:val="none"/>
          <w:lang w:val="en-US" w:eastAsia="zh-CN"/>
        </w:rPr>
        <w:t xml:space="preserve">6.3.7 </w:t>
      </w:r>
      <w:r>
        <w:rPr>
          <w:rFonts w:hint="eastAsia" w:ascii="Times New Roman" w:hAnsi="Times New Roman" w:eastAsia="宋体" w:cs="Times New Roman"/>
          <w:b w:val="0"/>
          <w:bCs w:val="0"/>
          <w:color w:val="auto"/>
          <w:highlight w:val="none"/>
          <w:lang w:eastAsia="zh-CN"/>
        </w:rPr>
        <w:t>污水管道</w:t>
      </w:r>
      <w:r>
        <w:rPr>
          <w:rFonts w:hint="eastAsia" w:ascii="Times New Roman" w:hAnsi="Times New Roman" w:eastAsia="宋体" w:cs="Times New Roman"/>
          <w:b w:val="0"/>
          <w:bCs w:val="0"/>
          <w:color w:val="auto"/>
          <w:highlight w:val="none"/>
          <w:lang w:val="en-US" w:eastAsia="zh-CN"/>
        </w:rPr>
        <w:t>的</w:t>
      </w:r>
      <w:r>
        <w:rPr>
          <w:rFonts w:hint="eastAsia" w:ascii="Times New Roman" w:hAnsi="Times New Roman" w:eastAsia="宋体" w:cs="Times New Roman"/>
          <w:b w:val="0"/>
          <w:bCs w:val="0"/>
          <w:color w:val="auto"/>
          <w:highlight w:val="none"/>
          <w:lang w:eastAsia="zh-CN"/>
        </w:rPr>
        <w:t>通气装置应直接引至</w:t>
      </w:r>
      <w:r>
        <w:rPr>
          <w:rFonts w:hint="eastAsia" w:ascii="Times New Roman" w:hAnsi="Times New Roman" w:cs="Times New Roman"/>
          <w:b w:val="0"/>
          <w:bCs w:val="0"/>
          <w:color w:val="auto"/>
          <w:highlight w:val="none"/>
          <w:lang w:val="en-US" w:eastAsia="zh-CN"/>
        </w:rPr>
        <w:t>小型</w:t>
      </w:r>
      <w:r>
        <w:rPr>
          <w:rFonts w:hint="eastAsia" w:ascii="Times New Roman" w:hAnsi="Times New Roman" w:eastAsia="宋体" w:cs="Times New Roman"/>
          <w:b w:val="0"/>
          <w:bCs w:val="0"/>
          <w:color w:val="auto"/>
          <w:highlight w:val="none"/>
          <w:lang w:eastAsia="zh-CN"/>
        </w:rPr>
        <w:t>综合管廊外部安全空间</w:t>
      </w:r>
      <w:r>
        <w:rPr>
          <w:rFonts w:hint="eastAsia" w:ascii="Times New Roman" w:hAnsi="Times New Roman" w:cs="Times New Roman"/>
          <w:b w:val="0"/>
          <w:bCs w:val="0"/>
          <w:color w:val="auto"/>
          <w:highlight w:val="none"/>
          <w:lang w:eastAsia="zh-CN"/>
        </w:rPr>
        <w:t>，</w:t>
      </w:r>
      <w:r>
        <w:rPr>
          <w:rFonts w:hint="eastAsia" w:ascii="Times New Roman" w:hAnsi="Times New Roman" w:eastAsia="宋体" w:cs="Times New Roman"/>
          <w:b w:val="0"/>
          <w:bCs w:val="0"/>
          <w:color w:val="auto"/>
          <w:highlight w:val="none"/>
          <w:lang w:eastAsia="zh-CN"/>
        </w:rPr>
        <w:t>并应与周边环境相协调。</w:t>
      </w:r>
    </w:p>
    <w:p w14:paraId="58C54F7B">
      <w:pPr>
        <w:rPr>
          <w:rFonts w:hint="eastAsia" w:ascii="Times New Roman" w:hAnsi="Times New Roman" w:eastAsia="宋体" w:cs="Times New Roman"/>
          <w:b w:val="0"/>
          <w:bCs w:val="0"/>
          <w:color w:val="auto"/>
          <w:highlight w:val="none"/>
          <w:lang w:eastAsia="zh-CN"/>
        </w:rPr>
      </w:pPr>
      <w:r>
        <w:rPr>
          <w:rFonts w:hint="eastAsia" w:ascii="黑体" w:hAnsi="黑体" w:eastAsia="黑体" w:cs="黑体"/>
          <w:b/>
          <w:bCs/>
          <w:color w:val="auto"/>
          <w:highlight w:val="none"/>
          <w:lang w:val="en-US" w:eastAsia="zh-CN"/>
        </w:rPr>
        <w:t>6</w:t>
      </w:r>
      <w:r>
        <w:rPr>
          <w:rFonts w:hint="eastAsia" w:ascii="黑体" w:hAnsi="黑体" w:eastAsia="黑体" w:cs="黑体"/>
          <w:b/>
          <w:bCs/>
          <w:color w:val="auto"/>
          <w:highlight w:val="none"/>
          <w:lang w:eastAsia="zh-CN"/>
        </w:rPr>
        <w:t xml:space="preserve">.3.8 </w:t>
      </w:r>
      <w:r>
        <w:rPr>
          <w:rFonts w:hint="eastAsia" w:ascii="Times New Roman" w:hAnsi="Times New Roman" w:eastAsia="宋体" w:cs="Times New Roman"/>
          <w:b w:val="0"/>
          <w:bCs w:val="0"/>
          <w:color w:val="auto"/>
          <w:highlight w:val="none"/>
          <w:lang w:eastAsia="zh-CN"/>
        </w:rPr>
        <w:t>污水管道的检查及清通设施应满足管道安装、检修、运行和维护的要求。重力流管道</w:t>
      </w:r>
      <w:r>
        <w:rPr>
          <w:rFonts w:hint="eastAsia" w:ascii="Times New Roman" w:hAnsi="Times New Roman" w:eastAsia="宋体" w:cs="Times New Roman"/>
          <w:b w:val="0"/>
          <w:bCs w:val="0"/>
          <w:color w:val="auto"/>
          <w:highlight w:val="none"/>
          <w:lang w:val="en-US" w:eastAsia="zh-CN"/>
        </w:rPr>
        <w:t>并应</w:t>
      </w:r>
      <w:r>
        <w:rPr>
          <w:rFonts w:hint="eastAsia" w:ascii="Times New Roman" w:hAnsi="Times New Roman" w:eastAsia="宋体" w:cs="Times New Roman"/>
          <w:b w:val="0"/>
          <w:bCs w:val="0"/>
          <w:color w:val="auto"/>
          <w:highlight w:val="none"/>
          <w:lang w:eastAsia="zh-CN"/>
        </w:rPr>
        <w:t>考虑外部排水系统水位变化、冲击负荷等情况对</w:t>
      </w:r>
      <w:r>
        <w:rPr>
          <w:rFonts w:hint="eastAsia" w:ascii="Times New Roman" w:hAnsi="Times New Roman" w:cs="Times New Roman"/>
          <w:b w:val="0"/>
          <w:bCs w:val="0"/>
          <w:color w:val="auto"/>
          <w:highlight w:val="none"/>
          <w:lang w:val="en-US" w:eastAsia="zh-CN"/>
        </w:rPr>
        <w:t>小型</w:t>
      </w:r>
      <w:r>
        <w:rPr>
          <w:rFonts w:hint="eastAsia" w:ascii="Times New Roman" w:hAnsi="Times New Roman" w:eastAsia="宋体" w:cs="Times New Roman"/>
          <w:b w:val="0"/>
          <w:bCs w:val="0"/>
          <w:color w:val="auto"/>
          <w:highlight w:val="none"/>
          <w:lang w:eastAsia="zh-CN"/>
        </w:rPr>
        <w:t>综合管廊内管道运行安全的影响。</w:t>
      </w:r>
    </w:p>
    <w:p w14:paraId="3F22DE6F">
      <w:pPr>
        <w:rPr>
          <w:rFonts w:hint="eastAsia" w:ascii="Times New Roman" w:hAnsi="Times New Roman" w:eastAsia="宋体" w:cs="Times New Roman"/>
          <w:b w:val="0"/>
          <w:bCs w:val="0"/>
          <w:color w:val="auto"/>
          <w:highlight w:val="none"/>
          <w:lang w:eastAsia="zh-CN"/>
        </w:rPr>
      </w:pPr>
      <w:r>
        <w:rPr>
          <w:rFonts w:hint="eastAsia" w:ascii="黑体" w:hAnsi="黑体" w:eastAsia="黑体" w:cs="黑体"/>
          <w:b/>
          <w:bCs/>
          <w:color w:val="auto"/>
          <w:highlight w:val="none"/>
          <w:lang w:val="en-US" w:eastAsia="zh-CN"/>
        </w:rPr>
        <w:t>6</w:t>
      </w:r>
      <w:r>
        <w:rPr>
          <w:rFonts w:hint="eastAsia" w:ascii="黑体" w:hAnsi="黑体" w:eastAsia="黑体" w:cs="黑体"/>
          <w:b/>
          <w:bCs/>
          <w:color w:val="auto"/>
          <w:highlight w:val="none"/>
          <w:lang w:eastAsia="zh-CN"/>
        </w:rPr>
        <w:t xml:space="preserve">.3.9 </w:t>
      </w:r>
      <w:r>
        <w:rPr>
          <w:rFonts w:hint="eastAsia" w:ascii="Times New Roman" w:hAnsi="Times New Roman" w:eastAsia="宋体" w:cs="Times New Roman"/>
          <w:b w:val="0"/>
          <w:bCs w:val="0"/>
          <w:color w:val="auto"/>
          <w:highlight w:val="none"/>
          <w:lang w:eastAsia="zh-CN"/>
        </w:rPr>
        <w:t>利用</w:t>
      </w:r>
      <w:r>
        <w:rPr>
          <w:rFonts w:hint="eastAsia" w:ascii="Times New Roman" w:hAnsi="Times New Roman" w:cs="Times New Roman"/>
          <w:b w:val="0"/>
          <w:bCs w:val="0"/>
          <w:color w:val="auto"/>
          <w:highlight w:val="none"/>
          <w:lang w:val="en-US" w:eastAsia="zh-CN"/>
        </w:rPr>
        <w:t>小型</w:t>
      </w:r>
      <w:r>
        <w:rPr>
          <w:rFonts w:hint="eastAsia" w:ascii="Times New Roman" w:hAnsi="Times New Roman" w:eastAsia="宋体" w:cs="Times New Roman"/>
          <w:b w:val="0"/>
          <w:bCs w:val="0"/>
          <w:color w:val="auto"/>
          <w:highlight w:val="none"/>
          <w:lang w:eastAsia="zh-CN"/>
        </w:rPr>
        <w:t>综合管廊结构本体排除雨水时</w:t>
      </w:r>
      <w:r>
        <w:rPr>
          <w:rFonts w:hint="eastAsia" w:ascii="Times New Roman" w:hAnsi="Times New Roman" w:cs="Times New Roman"/>
          <w:b w:val="0"/>
          <w:bCs w:val="0"/>
          <w:color w:val="auto"/>
          <w:highlight w:val="none"/>
          <w:lang w:eastAsia="zh-CN"/>
        </w:rPr>
        <w:t>，</w:t>
      </w:r>
      <w:r>
        <w:rPr>
          <w:rFonts w:hint="eastAsia" w:ascii="Times New Roman" w:hAnsi="Times New Roman" w:eastAsia="宋体" w:cs="Times New Roman"/>
          <w:b w:val="0"/>
          <w:bCs w:val="0"/>
          <w:color w:val="auto"/>
          <w:highlight w:val="none"/>
          <w:lang w:eastAsia="zh-CN"/>
        </w:rPr>
        <w:t>雨水舱结构空间应完全独立和严密，</w:t>
      </w:r>
      <w:r>
        <w:rPr>
          <w:rFonts w:hint="eastAsia" w:ascii="Times New Roman" w:hAnsi="Times New Roman" w:eastAsia="宋体" w:cs="Times New Roman"/>
          <w:b w:val="0"/>
          <w:bCs w:val="0"/>
          <w:color w:val="auto"/>
          <w:highlight w:val="none"/>
          <w:lang w:val="en-US" w:eastAsia="zh-CN"/>
        </w:rPr>
        <w:t>并</w:t>
      </w:r>
      <w:r>
        <w:rPr>
          <w:rFonts w:hint="eastAsia" w:ascii="Times New Roman" w:hAnsi="Times New Roman" w:eastAsia="宋体" w:cs="Times New Roman"/>
          <w:b w:val="0"/>
          <w:bCs w:val="0"/>
          <w:color w:val="auto"/>
          <w:highlight w:val="none"/>
          <w:lang w:eastAsia="zh-CN"/>
        </w:rPr>
        <w:t>应采取防止雨水倒灌或渗漏至其他舱室的措施。</w:t>
      </w:r>
    </w:p>
    <w:p w14:paraId="2EB3C968">
      <w:pPr>
        <w:rPr>
          <w:rFonts w:hint="eastAsia" w:ascii="Times New Roman" w:hAnsi="Times New Roman" w:eastAsia="宋体" w:cs="Times New Roman"/>
          <w:b w:val="0"/>
          <w:bCs w:val="0"/>
          <w:color w:val="auto"/>
          <w:highlight w:val="none"/>
          <w:lang w:eastAsia="zh-CN"/>
        </w:rPr>
      </w:pPr>
      <w:r>
        <w:rPr>
          <w:rFonts w:hint="eastAsia" w:ascii="黑体" w:hAnsi="黑体" w:eastAsia="黑体" w:cs="黑体"/>
          <w:b/>
          <w:bCs/>
          <w:color w:val="auto"/>
          <w:highlight w:val="none"/>
          <w:lang w:val="en-US" w:eastAsia="zh-CN"/>
        </w:rPr>
        <w:t>6</w:t>
      </w:r>
      <w:r>
        <w:rPr>
          <w:rFonts w:hint="eastAsia" w:ascii="黑体" w:hAnsi="黑体" w:eastAsia="黑体" w:cs="黑体"/>
          <w:b/>
          <w:bCs/>
          <w:color w:val="auto"/>
          <w:highlight w:val="none"/>
          <w:lang w:eastAsia="zh-CN"/>
        </w:rPr>
        <w:t>.3.</w:t>
      </w:r>
      <w:r>
        <w:rPr>
          <w:rFonts w:hint="eastAsia" w:ascii="黑体" w:hAnsi="黑体" w:eastAsia="黑体" w:cs="黑体"/>
          <w:b/>
          <w:bCs/>
          <w:color w:val="auto"/>
          <w:highlight w:val="none"/>
          <w:lang w:val="en-US" w:eastAsia="zh-CN"/>
        </w:rPr>
        <w:t>10</w:t>
      </w:r>
      <w:r>
        <w:rPr>
          <w:rFonts w:hint="eastAsia" w:ascii="黑体" w:hAnsi="黑体" w:eastAsia="黑体" w:cs="黑体"/>
          <w:b/>
          <w:bCs/>
          <w:color w:val="auto"/>
          <w:highlight w:val="none"/>
          <w:lang w:eastAsia="zh-CN"/>
        </w:rPr>
        <w:t xml:space="preserve"> </w:t>
      </w:r>
      <w:r>
        <w:rPr>
          <w:rFonts w:hint="eastAsia" w:ascii="Times New Roman" w:hAnsi="Times New Roman"/>
          <w:b w:val="0"/>
          <w:bCs w:val="0"/>
          <w:color w:val="auto"/>
          <w:highlight w:val="none"/>
        </w:rPr>
        <w:t>压力</w:t>
      </w:r>
      <w:r>
        <w:rPr>
          <w:rFonts w:hint="eastAsia" w:ascii="Times New Roman" w:hAnsi="Times New Roman"/>
          <w:b w:val="0"/>
          <w:bCs w:val="0"/>
          <w:color w:val="auto"/>
          <w:highlight w:val="none"/>
          <w:lang w:val="en-US" w:eastAsia="zh-CN"/>
        </w:rPr>
        <w:t>排水</w:t>
      </w:r>
      <w:r>
        <w:rPr>
          <w:rFonts w:hint="eastAsia" w:ascii="Times New Roman" w:hAnsi="Times New Roman"/>
          <w:b w:val="0"/>
          <w:bCs w:val="0"/>
          <w:color w:val="auto"/>
          <w:highlight w:val="none"/>
        </w:rPr>
        <w:t>管道进入小型综合管廊，</w:t>
      </w:r>
      <w:r>
        <w:rPr>
          <w:rFonts w:hint="eastAsia" w:ascii="Times New Roman" w:hAnsi="Times New Roman" w:cs="Times New Roman"/>
          <w:b w:val="0"/>
          <w:bCs w:val="0"/>
          <w:color w:val="auto"/>
          <w:highlight w:val="none"/>
          <w:lang w:val="en-US" w:eastAsia="zh-CN"/>
        </w:rPr>
        <w:t>应</w:t>
      </w:r>
      <w:r>
        <w:rPr>
          <w:rFonts w:hint="eastAsia" w:ascii="Times New Roman" w:hAnsi="Times New Roman"/>
          <w:b w:val="0"/>
          <w:bCs w:val="0"/>
          <w:color w:val="auto"/>
          <w:highlight w:val="none"/>
        </w:rPr>
        <w:t>设置压力、渗漏监测系统</w:t>
      </w:r>
      <w:r>
        <w:rPr>
          <w:rFonts w:hint="eastAsia" w:ascii="Times New Roman" w:hAnsi="Times New Roman" w:eastAsia="宋体" w:cs="Times New Roman"/>
          <w:b w:val="0"/>
          <w:bCs w:val="0"/>
          <w:color w:val="auto"/>
          <w:highlight w:val="none"/>
          <w:lang w:eastAsia="zh-CN"/>
        </w:rPr>
        <w:t>。</w:t>
      </w:r>
    </w:p>
    <w:p w14:paraId="3B001C30">
      <w:pPr>
        <w:rPr>
          <w:rFonts w:hint="eastAsia" w:ascii="Times New Roman" w:hAnsi="Times New Roman" w:eastAsia="宋体" w:cs="Times New Roman"/>
          <w:b w:val="0"/>
          <w:bCs w:val="0"/>
          <w:color w:val="auto"/>
          <w:highlight w:val="none"/>
        </w:rPr>
      </w:pPr>
      <w:r>
        <w:rPr>
          <w:rFonts w:hint="eastAsia" w:ascii="黑体" w:hAnsi="黑体" w:eastAsia="黑体" w:cs="黑体"/>
          <w:b/>
          <w:bCs/>
          <w:color w:val="auto"/>
          <w:highlight w:val="none"/>
          <w:lang w:val="en-US" w:eastAsia="zh-CN"/>
        </w:rPr>
        <w:t>6</w:t>
      </w:r>
      <w:r>
        <w:rPr>
          <w:rFonts w:hint="eastAsia" w:ascii="黑体" w:hAnsi="黑体" w:eastAsia="黑体" w:cs="黑体"/>
          <w:b/>
          <w:bCs/>
          <w:color w:val="auto"/>
          <w:highlight w:val="none"/>
          <w:lang w:eastAsia="zh-CN"/>
        </w:rPr>
        <w:t>.3.</w:t>
      </w:r>
      <w:r>
        <w:rPr>
          <w:rFonts w:hint="eastAsia" w:ascii="黑体" w:hAnsi="黑体" w:eastAsia="黑体" w:cs="黑体"/>
          <w:b/>
          <w:bCs/>
          <w:color w:val="auto"/>
          <w:highlight w:val="none"/>
          <w:lang w:val="en-US" w:eastAsia="zh-CN"/>
        </w:rPr>
        <w:t>11</w:t>
      </w:r>
      <w:r>
        <w:rPr>
          <w:rFonts w:hint="eastAsia" w:ascii="黑体" w:hAnsi="黑体" w:eastAsia="黑体" w:cs="黑体"/>
          <w:b/>
          <w:bCs/>
          <w:color w:val="auto"/>
          <w:highlight w:val="none"/>
          <w:lang w:eastAsia="zh-CN"/>
        </w:rPr>
        <w:t xml:space="preserve"> </w:t>
      </w:r>
      <w:r>
        <w:rPr>
          <w:rFonts w:hint="eastAsia" w:ascii="Times New Roman" w:hAnsi="Times New Roman"/>
          <w:b w:val="0"/>
          <w:bCs w:val="0"/>
          <w:color w:val="auto"/>
          <w:highlight w:val="none"/>
        </w:rPr>
        <w:t>压力</w:t>
      </w:r>
      <w:r>
        <w:rPr>
          <w:rFonts w:hint="eastAsia" w:ascii="Times New Roman" w:hAnsi="Times New Roman"/>
          <w:b w:val="0"/>
          <w:bCs w:val="0"/>
          <w:color w:val="auto"/>
          <w:highlight w:val="none"/>
          <w:lang w:val="en-US" w:eastAsia="zh-CN"/>
        </w:rPr>
        <w:t>排水</w:t>
      </w:r>
      <w:r>
        <w:rPr>
          <w:rFonts w:hint="eastAsia" w:ascii="Times New Roman" w:hAnsi="Times New Roman"/>
          <w:b w:val="0"/>
          <w:bCs w:val="0"/>
          <w:color w:val="auto"/>
          <w:highlight w:val="none"/>
        </w:rPr>
        <w:t>管道宜在</w:t>
      </w:r>
      <w:r>
        <w:rPr>
          <w:rFonts w:hint="eastAsia" w:ascii="Times New Roman" w:hAnsi="Times New Roman"/>
          <w:b w:val="0"/>
          <w:bCs w:val="0"/>
          <w:color w:val="auto"/>
          <w:highlight w:val="none"/>
          <w:lang w:val="en-US" w:eastAsia="zh-CN"/>
        </w:rPr>
        <w:t>小型综合</w:t>
      </w:r>
      <w:r>
        <w:rPr>
          <w:rFonts w:hint="eastAsia" w:ascii="Times New Roman" w:hAnsi="Times New Roman"/>
          <w:b w:val="0"/>
          <w:bCs w:val="0"/>
          <w:color w:val="auto"/>
          <w:highlight w:val="none"/>
        </w:rPr>
        <w:t>管廊集水坑附近布置泄压、泄水装置。</w:t>
      </w:r>
    </w:p>
    <w:p w14:paraId="0EBA6882">
      <w:pPr>
        <w:pStyle w:val="34"/>
        <w:spacing w:before="156" w:beforeLines="50" w:after="156" w:afterLines="50"/>
        <w:outlineLvl w:val="2"/>
        <w:rPr>
          <w:rFonts w:hint="eastAsia" w:ascii="黑体" w:hAnsi="黑体" w:cs="黑体"/>
          <w:color w:val="auto"/>
          <w:sz w:val="21"/>
          <w:szCs w:val="21"/>
          <w:highlight w:val="none"/>
          <w:lang w:val="en-US" w:eastAsia="zh-CN"/>
        </w:rPr>
      </w:pPr>
      <w:bookmarkStart w:id="96" w:name="_Toc1483"/>
      <w:bookmarkStart w:id="97" w:name="_Toc20036"/>
      <w:r>
        <w:rPr>
          <w:rFonts w:hint="eastAsia" w:ascii="黑体" w:hAnsi="黑体" w:cs="黑体"/>
          <w:color w:val="auto"/>
          <w:sz w:val="21"/>
          <w:szCs w:val="21"/>
          <w:highlight w:val="none"/>
          <w:lang w:val="en-US" w:eastAsia="zh-CN"/>
        </w:rPr>
        <w:t>6.4 热力管道</w:t>
      </w:r>
      <w:bookmarkEnd w:id="96"/>
      <w:bookmarkEnd w:id="97"/>
    </w:p>
    <w:p w14:paraId="591979C2">
      <w:pPr>
        <w:rPr>
          <w:rFonts w:hint="eastAsia" w:ascii="Times New Roman" w:hAnsi="Times New Roman" w:eastAsia="宋体" w:cs="Times New Roman"/>
          <w:b w:val="0"/>
          <w:bCs w:val="0"/>
          <w:color w:val="auto"/>
          <w:sz w:val="21"/>
          <w:szCs w:val="21"/>
          <w:highlight w:val="none"/>
          <w:lang w:val="en-US" w:eastAsia="zh-CN"/>
        </w:rPr>
      </w:pPr>
      <w:r>
        <w:rPr>
          <w:rFonts w:hint="eastAsia" w:ascii="黑体" w:hAnsi="黑体" w:eastAsia="黑体" w:cs="黑体"/>
          <w:b/>
          <w:bCs/>
          <w:color w:val="auto"/>
          <w:sz w:val="21"/>
          <w:szCs w:val="21"/>
          <w:highlight w:val="none"/>
          <w:lang w:val="en-US" w:eastAsia="zh-CN"/>
        </w:rPr>
        <w:t xml:space="preserve">6.4.1 </w:t>
      </w:r>
      <w:r>
        <w:rPr>
          <w:rFonts w:hint="eastAsia" w:ascii="Times New Roman" w:hAnsi="Times New Roman" w:eastAsia="宋体" w:cs="Times New Roman"/>
          <w:b w:val="0"/>
          <w:bCs w:val="0"/>
          <w:color w:val="auto"/>
          <w:sz w:val="21"/>
          <w:szCs w:val="21"/>
          <w:highlight w:val="none"/>
          <w:lang w:val="en-US" w:eastAsia="zh-CN"/>
        </w:rPr>
        <w:t>热力管道应采用钢管、保温层及外护管紧密结合成一体的预制管，并应符合现行国家标准《高密度聚乙烯外护管硬质聚氨酯泡沫塑料预制直埋保温管及管件》GB/T29047和《玻璃纤维增强塑料外护层聚氨酯泡沫塑料预制直埋保温管》CIT129的有关规定。</w:t>
      </w:r>
    </w:p>
    <w:p w14:paraId="6CAE7CC6">
      <w:pPr>
        <w:rPr>
          <w:rFonts w:hint="eastAsia" w:ascii="Times New Roman" w:hAnsi="Times New Roman" w:eastAsia="宋体" w:cs="Times New Roman"/>
          <w:b w:val="0"/>
          <w:bCs w:val="0"/>
          <w:color w:val="auto"/>
          <w:highlight w:val="none"/>
          <w:lang w:val="en-US" w:eastAsia="zh-CN"/>
        </w:rPr>
      </w:pPr>
      <w:r>
        <w:rPr>
          <w:rFonts w:hint="eastAsia" w:ascii="黑体" w:hAnsi="黑体" w:eastAsia="黑体" w:cs="黑体"/>
          <w:b/>
          <w:bCs/>
          <w:color w:val="auto"/>
          <w:highlight w:val="none"/>
          <w:lang w:val="en-US" w:eastAsia="zh-CN"/>
        </w:rPr>
        <w:t xml:space="preserve">6.4.2 </w:t>
      </w:r>
      <w:r>
        <w:rPr>
          <w:rFonts w:hint="eastAsia" w:ascii="Times New Roman" w:hAnsi="Times New Roman" w:eastAsia="宋体" w:cs="Times New Roman"/>
          <w:b w:val="0"/>
          <w:bCs w:val="0"/>
          <w:color w:val="auto"/>
          <w:highlight w:val="none"/>
          <w:lang w:val="en-US" w:eastAsia="zh-CN"/>
        </w:rPr>
        <w:t>管道附件必须进行保温。</w:t>
      </w:r>
    </w:p>
    <w:p w14:paraId="2B106F2A">
      <w:pPr>
        <w:spacing w:before="0" w:line="240" w:lineRule="auto"/>
        <w:ind w:left="0" w:right="0" w:firstLine="0"/>
        <w:rPr>
          <w:rFonts w:hint="eastAsia" w:ascii="Times New Roman" w:hAnsi="Times New Roman" w:eastAsia="宋体" w:cs="Times New Roman"/>
          <w:b w:val="0"/>
          <w:bCs w:val="0"/>
          <w:color w:val="auto"/>
          <w:spacing w:val="0"/>
          <w:sz w:val="21"/>
          <w:szCs w:val="21"/>
          <w:highlight w:val="none"/>
          <w:u w:val="none"/>
          <w:lang w:eastAsia="zh-CN"/>
        </w:rPr>
      </w:pPr>
      <w:r>
        <w:rPr>
          <w:rFonts w:hint="eastAsia" w:ascii="黑体" w:hAnsi="黑体" w:eastAsia="黑体" w:cs="黑体"/>
          <w:b/>
          <w:bCs/>
          <w:color w:val="auto"/>
          <w:highlight w:val="none"/>
          <w:lang w:val="en-US" w:eastAsia="zh-CN"/>
        </w:rPr>
        <w:t xml:space="preserve">6.4.3 </w:t>
      </w:r>
      <w:r>
        <w:rPr>
          <w:rFonts w:hint="eastAsia" w:ascii="Times New Roman" w:hAnsi="Times New Roman" w:eastAsia="宋体" w:cs="Times New Roman"/>
          <w:b w:val="0"/>
          <w:bCs w:val="0"/>
          <w:color w:val="auto"/>
          <w:spacing w:val="0"/>
          <w:sz w:val="21"/>
          <w:szCs w:val="21"/>
          <w:highlight w:val="none"/>
          <w:u w:val="none"/>
          <w:lang w:eastAsia="zh-CN"/>
        </w:rPr>
        <w:t>敷设在</w:t>
      </w:r>
      <w:r>
        <w:rPr>
          <w:rFonts w:hint="eastAsia" w:ascii="Times New Roman" w:hAnsi="Times New Roman" w:cs="Times New Roman"/>
          <w:b w:val="0"/>
          <w:bCs w:val="0"/>
          <w:color w:val="auto"/>
          <w:spacing w:val="0"/>
          <w:sz w:val="21"/>
          <w:szCs w:val="21"/>
          <w:highlight w:val="none"/>
          <w:u w:val="none"/>
          <w:lang w:val="en-US" w:eastAsia="zh-CN"/>
        </w:rPr>
        <w:t>小型综合</w:t>
      </w:r>
      <w:r>
        <w:rPr>
          <w:rFonts w:hint="eastAsia" w:ascii="Times New Roman" w:hAnsi="Times New Roman" w:eastAsia="宋体" w:cs="Times New Roman"/>
          <w:b w:val="0"/>
          <w:bCs w:val="0"/>
          <w:color w:val="auto"/>
          <w:spacing w:val="0"/>
          <w:sz w:val="21"/>
          <w:szCs w:val="21"/>
          <w:highlight w:val="none"/>
          <w:u w:val="none"/>
          <w:lang w:eastAsia="zh-CN"/>
        </w:rPr>
        <w:t>管廊内的热力管道应符合下列规定：</w:t>
      </w:r>
    </w:p>
    <w:p w14:paraId="603613EA">
      <w:pPr>
        <w:ind w:firstLine="638" w:firstLineChars="304"/>
        <w:rPr>
          <w:rFonts w:hint="eastAsia" w:ascii="Times New Roman" w:hAnsi="Times New Roman" w:eastAsia="宋体" w:cs="Times New Roman"/>
          <w:b w:val="0"/>
          <w:bCs w:val="0"/>
          <w:color w:val="auto"/>
          <w:spacing w:val="0"/>
          <w:sz w:val="21"/>
          <w:szCs w:val="21"/>
          <w:highlight w:val="none"/>
          <w:u w:val="none"/>
          <w:lang w:val="en-US" w:eastAsia="zh-CN"/>
        </w:rPr>
      </w:pPr>
      <w:r>
        <w:rPr>
          <w:rFonts w:hint="eastAsia" w:ascii="Times New Roman" w:hAnsi="Times New Roman" w:eastAsia="宋体" w:cs="Times New Roman"/>
          <w:b w:val="0"/>
          <w:bCs w:val="0"/>
          <w:color w:val="auto"/>
          <w:spacing w:val="0"/>
          <w:sz w:val="21"/>
          <w:szCs w:val="21"/>
          <w:highlight w:val="none"/>
          <w:u w:val="none"/>
          <w:lang w:eastAsia="zh-CN"/>
        </w:rPr>
        <w:t>1</w:t>
      </w:r>
      <w:r>
        <w:rPr>
          <w:rFonts w:hint="eastAsia" w:ascii="Times New Roman" w:hAnsi="Times New Roman" w:eastAsia="宋体" w:cs="Times New Roman"/>
          <w:b w:val="0"/>
          <w:bCs w:val="0"/>
          <w:color w:val="auto"/>
          <w:spacing w:val="0"/>
          <w:sz w:val="21"/>
          <w:szCs w:val="21"/>
          <w:highlight w:val="none"/>
          <w:u w:val="none"/>
          <w:lang w:val="en-US" w:eastAsia="zh-CN"/>
        </w:rPr>
        <w:t xml:space="preserve"> 蒸汽热力管道不应纳入小型综合管廊</w:t>
      </w:r>
    </w:p>
    <w:p w14:paraId="7E6A8084">
      <w:pPr>
        <w:ind w:firstLine="638" w:firstLineChars="304"/>
        <w:rPr>
          <w:rFonts w:hint="eastAsia" w:ascii="黑体" w:hAnsi="黑体" w:eastAsia="黑体" w:cs="黑体"/>
          <w:b w:val="0"/>
          <w:bCs w:val="0"/>
          <w:color w:val="auto"/>
          <w:spacing w:val="0"/>
          <w:sz w:val="21"/>
          <w:szCs w:val="21"/>
          <w:highlight w:val="none"/>
          <w:u w:val="none"/>
          <w:lang w:eastAsia="zh-CN"/>
        </w:rPr>
      </w:pPr>
      <w:r>
        <w:rPr>
          <w:rFonts w:hint="eastAsia" w:ascii="Times New Roman" w:hAnsi="Times New Roman" w:cs="Times New Roman"/>
          <w:b w:val="0"/>
          <w:bCs w:val="0"/>
          <w:color w:val="auto"/>
          <w:spacing w:val="0"/>
          <w:sz w:val="21"/>
          <w:szCs w:val="21"/>
          <w:highlight w:val="none"/>
          <w:u w:val="none"/>
          <w:lang w:val="en-US" w:eastAsia="zh-CN"/>
        </w:rPr>
        <w:t xml:space="preserve">2 </w:t>
      </w:r>
      <w:r>
        <w:rPr>
          <w:rFonts w:hint="eastAsia" w:ascii="Times New Roman" w:hAnsi="Times New Roman" w:eastAsia="宋体" w:cs="Times New Roman"/>
          <w:b w:val="0"/>
          <w:bCs w:val="0"/>
          <w:color w:val="auto"/>
          <w:spacing w:val="0"/>
          <w:sz w:val="21"/>
          <w:szCs w:val="21"/>
          <w:highlight w:val="none"/>
          <w:u w:val="none"/>
          <w:lang w:eastAsia="zh-CN"/>
        </w:rPr>
        <w:t>热水介质设计温度应小于或等于200℃</w:t>
      </w:r>
      <w:r>
        <w:rPr>
          <w:rFonts w:hint="eastAsia" w:ascii="黑体" w:hAnsi="黑体" w:eastAsia="黑体" w:cs="黑体"/>
          <w:b w:val="0"/>
          <w:bCs w:val="0"/>
          <w:color w:val="auto"/>
          <w:spacing w:val="0"/>
          <w:sz w:val="21"/>
          <w:szCs w:val="21"/>
          <w:highlight w:val="none"/>
          <w:u w:val="none"/>
          <w:lang w:eastAsia="zh-CN"/>
        </w:rPr>
        <w:t>；</w:t>
      </w:r>
    </w:p>
    <w:p w14:paraId="7CD12146">
      <w:pPr>
        <w:ind w:firstLine="638" w:firstLineChars="304"/>
        <w:rPr>
          <w:rFonts w:hint="eastAsia" w:ascii="Times New Roman" w:hAnsi="Times New Roman" w:eastAsia="宋体" w:cs="Times New Roman"/>
          <w:b w:val="0"/>
          <w:bCs w:val="0"/>
          <w:color w:val="auto"/>
          <w:spacing w:val="0"/>
          <w:sz w:val="21"/>
          <w:szCs w:val="21"/>
          <w:highlight w:val="none"/>
          <w:u w:val="none"/>
          <w:lang w:eastAsia="zh-CN"/>
        </w:rPr>
      </w:pPr>
      <w:r>
        <w:rPr>
          <w:rFonts w:hint="eastAsia" w:ascii="Times New Roman" w:hAnsi="Times New Roman" w:cs="Times New Roman"/>
          <w:b w:val="0"/>
          <w:bCs w:val="0"/>
          <w:color w:val="auto"/>
          <w:spacing w:val="0"/>
          <w:sz w:val="21"/>
          <w:szCs w:val="21"/>
          <w:highlight w:val="none"/>
          <w:u w:val="none"/>
          <w:lang w:val="en-US" w:eastAsia="zh-CN"/>
        </w:rPr>
        <w:t>3</w:t>
      </w:r>
      <w:r>
        <w:rPr>
          <w:rFonts w:hint="eastAsia" w:ascii="Times New Roman" w:hAnsi="Times New Roman" w:eastAsia="宋体" w:cs="Times New Roman"/>
          <w:b w:val="0"/>
          <w:bCs w:val="0"/>
          <w:color w:val="auto"/>
          <w:spacing w:val="0"/>
          <w:sz w:val="21"/>
          <w:szCs w:val="21"/>
          <w:highlight w:val="none"/>
          <w:u w:val="none"/>
          <w:lang w:eastAsia="zh-CN"/>
        </w:rPr>
        <w:t xml:space="preserve"> 设计压力应小于或等于1.6MPa；</w:t>
      </w:r>
    </w:p>
    <w:p w14:paraId="3DDF1C94">
      <w:pPr>
        <w:ind w:firstLine="638" w:firstLineChars="304"/>
        <w:rPr>
          <w:rFonts w:hint="eastAsia" w:ascii="Times New Roman" w:hAnsi="Times New Roman" w:eastAsia="宋体" w:cs="Times New Roman"/>
          <w:b w:val="0"/>
          <w:bCs w:val="0"/>
          <w:color w:val="auto"/>
          <w:spacing w:val="0"/>
          <w:sz w:val="21"/>
          <w:szCs w:val="21"/>
          <w:highlight w:val="none"/>
          <w:u w:val="none"/>
          <w:lang w:eastAsia="zh-CN"/>
        </w:rPr>
      </w:pPr>
      <w:r>
        <w:rPr>
          <w:rFonts w:hint="eastAsia" w:ascii="Times New Roman" w:hAnsi="Times New Roman" w:cs="Times New Roman"/>
          <w:b w:val="0"/>
          <w:bCs w:val="0"/>
          <w:color w:val="auto"/>
          <w:spacing w:val="0"/>
          <w:sz w:val="21"/>
          <w:szCs w:val="21"/>
          <w:highlight w:val="none"/>
          <w:u w:val="none"/>
          <w:lang w:val="en-US" w:eastAsia="zh-CN"/>
        </w:rPr>
        <w:t>4</w:t>
      </w:r>
      <w:r>
        <w:rPr>
          <w:rFonts w:hint="eastAsia" w:ascii="Times New Roman" w:hAnsi="Times New Roman" w:eastAsia="宋体" w:cs="Times New Roman"/>
          <w:b w:val="0"/>
          <w:bCs w:val="0"/>
          <w:color w:val="auto"/>
          <w:spacing w:val="0"/>
          <w:sz w:val="21"/>
          <w:szCs w:val="21"/>
          <w:highlight w:val="none"/>
          <w:u w:val="none"/>
          <w:lang w:val="en-US" w:eastAsia="zh-CN"/>
        </w:rPr>
        <w:t xml:space="preserve"> </w:t>
      </w:r>
      <w:r>
        <w:rPr>
          <w:rFonts w:hint="eastAsia" w:ascii="Times New Roman" w:hAnsi="Times New Roman" w:eastAsia="宋体" w:cs="Times New Roman"/>
          <w:b w:val="0"/>
          <w:bCs w:val="0"/>
          <w:color w:val="auto"/>
          <w:spacing w:val="0"/>
          <w:sz w:val="21"/>
          <w:szCs w:val="21"/>
          <w:highlight w:val="none"/>
          <w:u w:val="none"/>
          <w:lang w:eastAsia="zh-CN"/>
        </w:rPr>
        <w:t>在设计工况下管道及附件保温结构的外表面计算温度不应超过50℃，计算温度降不应大于0.1℃/km；</w:t>
      </w:r>
    </w:p>
    <w:p w14:paraId="587E281B">
      <w:pPr>
        <w:ind w:firstLine="638" w:firstLineChars="304"/>
        <w:rPr>
          <w:rFonts w:hint="eastAsia" w:ascii="Times New Roman" w:hAnsi="Times New Roman" w:eastAsia="宋体" w:cs="Times New Roman"/>
          <w:b w:val="0"/>
          <w:bCs w:val="0"/>
          <w:color w:val="auto"/>
          <w:highlight w:val="none"/>
          <w:u w:val="none"/>
          <w:lang w:val="en-US" w:eastAsia="zh-CN"/>
        </w:rPr>
      </w:pPr>
      <w:r>
        <w:rPr>
          <w:rFonts w:hint="eastAsia" w:ascii="Times New Roman" w:hAnsi="Times New Roman" w:cs="Times New Roman"/>
          <w:b w:val="0"/>
          <w:bCs w:val="0"/>
          <w:color w:val="auto"/>
          <w:spacing w:val="0"/>
          <w:sz w:val="21"/>
          <w:szCs w:val="21"/>
          <w:highlight w:val="none"/>
          <w:u w:val="none"/>
          <w:lang w:val="en-US" w:eastAsia="zh-CN"/>
        </w:rPr>
        <w:t>5</w:t>
      </w:r>
      <w:r>
        <w:rPr>
          <w:rFonts w:hint="eastAsia" w:ascii="Times New Roman" w:hAnsi="Times New Roman" w:eastAsia="宋体" w:cs="Times New Roman"/>
          <w:b w:val="0"/>
          <w:bCs w:val="0"/>
          <w:color w:val="auto"/>
          <w:spacing w:val="0"/>
          <w:sz w:val="21"/>
          <w:szCs w:val="21"/>
          <w:highlight w:val="none"/>
          <w:u w:val="none"/>
          <w:lang w:val="en-US" w:eastAsia="zh-CN"/>
        </w:rPr>
        <w:t xml:space="preserve"> </w:t>
      </w:r>
      <w:r>
        <w:rPr>
          <w:rFonts w:hint="eastAsia" w:ascii="Times New Roman" w:hAnsi="Times New Roman" w:eastAsia="宋体" w:cs="Times New Roman"/>
          <w:b w:val="0"/>
          <w:bCs w:val="0"/>
          <w:color w:val="auto"/>
          <w:spacing w:val="0"/>
          <w:sz w:val="21"/>
          <w:szCs w:val="21"/>
          <w:highlight w:val="none"/>
          <w:u w:val="none"/>
          <w:lang w:eastAsia="zh-CN"/>
        </w:rPr>
        <w:t>保温设计应符合现行国家标准《设备及管道绝热技术通则》GB/T4272、设备及管道绝热设计导则》GB/T8175和《工业设备及管道绝热工程设计规范》GB50264的有关规定</w:t>
      </w:r>
      <w:r>
        <w:rPr>
          <w:rFonts w:hint="eastAsia" w:ascii="Times New Roman" w:hAnsi="Times New Roman" w:cs="Times New Roman"/>
          <w:b w:val="0"/>
          <w:bCs w:val="0"/>
          <w:color w:val="auto"/>
          <w:spacing w:val="0"/>
          <w:sz w:val="21"/>
          <w:szCs w:val="21"/>
          <w:highlight w:val="none"/>
          <w:u w:val="none"/>
          <w:lang w:eastAsia="zh-CN"/>
        </w:rPr>
        <w:t>。</w:t>
      </w:r>
    </w:p>
    <w:p w14:paraId="36F003EB">
      <w:pPr>
        <w:rPr>
          <w:rFonts w:hint="eastAsia" w:ascii="Times New Roman" w:hAnsi="Times New Roman" w:eastAsia="宋体" w:cs="Times New Roman"/>
          <w:b w:val="0"/>
          <w:bCs w:val="0"/>
          <w:color w:val="auto"/>
          <w:highlight w:val="none"/>
          <w:lang w:val="en-US" w:eastAsia="zh-CN"/>
        </w:rPr>
      </w:pPr>
      <w:r>
        <w:rPr>
          <w:rFonts w:hint="eastAsia" w:ascii="黑体" w:hAnsi="黑体" w:eastAsia="黑体" w:cs="黑体"/>
          <w:b/>
          <w:bCs/>
          <w:color w:val="auto"/>
          <w:highlight w:val="none"/>
          <w:lang w:val="en-US" w:eastAsia="zh-CN"/>
        </w:rPr>
        <w:t xml:space="preserve">6.4.4 </w:t>
      </w:r>
      <w:r>
        <w:rPr>
          <w:rFonts w:hint="eastAsia" w:ascii="Times New Roman" w:hAnsi="Times New Roman" w:eastAsia="宋体" w:cs="Times New Roman"/>
          <w:b w:val="0"/>
          <w:bCs w:val="0"/>
          <w:color w:val="auto"/>
          <w:highlight w:val="none"/>
          <w:lang w:val="en-US" w:eastAsia="zh-CN"/>
        </w:rPr>
        <w:t>当同舱敷设的其他管线有正常运行所需环境温度限制要求时,应按舱内温度限定条件校核保温层厚度。</w:t>
      </w:r>
    </w:p>
    <w:p w14:paraId="60E29C18">
      <w:pPr>
        <w:rPr>
          <w:rFonts w:hint="eastAsia" w:ascii="黑体" w:hAnsi="黑体" w:eastAsia="黑体" w:cs="黑体"/>
          <w:b w:val="0"/>
          <w:bCs w:val="0"/>
          <w:color w:val="auto"/>
          <w:spacing w:val="0"/>
          <w:sz w:val="21"/>
          <w:szCs w:val="21"/>
          <w:highlight w:val="none"/>
          <w:u w:val="none"/>
          <w:lang w:eastAsia="zh-CN"/>
        </w:rPr>
      </w:pPr>
      <w:r>
        <w:rPr>
          <w:rFonts w:hint="eastAsia" w:ascii="黑体" w:hAnsi="黑体" w:eastAsia="黑体" w:cs="黑体"/>
          <w:b/>
          <w:bCs/>
          <w:color w:val="auto"/>
          <w:spacing w:val="0"/>
          <w:sz w:val="21"/>
          <w:szCs w:val="21"/>
          <w:highlight w:val="none"/>
          <w:u w:val="none"/>
          <w:lang w:eastAsia="zh-CN"/>
        </w:rPr>
        <w:t>6.</w:t>
      </w:r>
      <w:r>
        <w:rPr>
          <w:rFonts w:hint="eastAsia" w:ascii="黑体" w:hAnsi="黑体" w:eastAsia="黑体" w:cs="黑体"/>
          <w:b/>
          <w:bCs/>
          <w:color w:val="auto"/>
          <w:spacing w:val="0"/>
          <w:sz w:val="21"/>
          <w:szCs w:val="21"/>
          <w:highlight w:val="none"/>
          <w:u w:val="none"/>
          <w:lang w:val="en-US" w:eastAsia="zh-CN"/>
        </w:rPr>
        <w:t>4</w:t>
      </w:r>
      <w:r>
        <w:rPr>
          <w:rFonts w:hint="eastAsia" w:ascii="黑体" w:hAnsi="黑体" w:eastAsia="黑体" w:cs="黑体"/>
          <w:b/>
          <w:bCs/>
          <w:color w:val="auto"/>
          <w:spacing w:val="0"/>
          <w:sz w:val="21"/>
          <w:szCs w:val="21"/>
          <w:highlight w:val="none"/>
          <w:u w:val="none"/>
          <w:lang w:eastAsia="zh-CN"/>
        </w:rPr>
        <w:t>.5</w:t>
      </w:r>
      <w:r>
        <w:rPr>
          <w:rFonts w:hint="eastAsia" w:ascii="黑体" w:hAnsi="黑体" w:eastAsia="黑体" w:cs="黑体"/>
          <w:b/>
          <w:bCs/>
          <w:color w:val="auto"/>
          <w:spacing w:val="0"/>
          <w:sz w:val="21"/>
          <w:szCs w:val="21"/>
          <w:highlight w:val="none"/>
          <w:u w:val="none"/>
          <w:lang w:val="en-US" w:eastAsia="zh-CN"/>
        </w:rPr>
        <w:t xml:space="preserve"> </w:t>
      </w:r>
      <w:r>
        <w:rPr>
          <w:rFonts w:hint="eastAsia" w:ascii="Times New Roman" w:hAnsi="Times New Roman" w:eastAsia="宋体" w:cs="Times New Roman"/>
          <w:b w:val="0"/>
          <w:bCs w:val="0"/>
          <w:color w:val="auto"/>
          <w:spacing w:val="0"/>
          <w:sz w:val="21"/>
          <w:szCs w:val="21"/>
          <w:highlight w:val="none"/>
          <w:u w:val="none"/>
          <w:lang w:eastAsia="zh-CN"/>
        </w:rPr>
        <w:t>热力管道放气装置应设置在</w:t>
      </w:r>
      <w:r>
        <w:rPr>
          <w:rFonts w:hint="eastAsia" w:ascii="Times New Roman" w:hAnsi="Times New Roman" w:cs="Times New Roman"/>
          <w:b w:val="0"/>
          <w:bCs w:val="0"/>
          <w:color w:val="auto"/>
          <w:spacing w:val="0"/>
          <w:sz w:val="21"/>
          <w:szCs w:val="21"/>
          <w:highlight w:val="none"/>
          <w:u w:val="none"/>
          <w:lang w:val="en-US" w:eastAsia="zh-CN"/>
        </w:rPr>
        <w:t>小型</w:t>
      </w:r>
      <w:r>
        <w:rPr>
          <w:rFonts w:hint="eastAsia" w:ascii="Times New Roman" w:hAnsi="Times New Roman" w:eastAsia="宋体" w:cs="Times New Roman"/>
          <w:b w:val="0"/>
          <w:bCs w:val="0"/>
          <w:color w:val="auto"/>
          <w:spacing w:val="0"/>
          <w:sz w:val="21"/>
          <w:szCs w:val="21"/>
          <w:highlight w:val="none"/>
          <w:u w:val="none"/>
          <w:lang w:eastAsia="zh-CN"/>
        </w:rPr>
        <w:t>综合管廊外部安全空间，且应设置防止人员接近的隔离设施。</w:t>
      </w:r>
    </w:p>
    <w:p w14:paraId="60A10B72">
      <w:pPr>
        <w:rPr>
          <w:rFonts w:hint="eastAsia" w:ascii="Times New Roman" w:hAnsi="Times New Roman" w:eastAsia="宋体" w:cs="Times New Roman"/>
          <w:b w:val="0"/>
          <w:bCs w:val="0"/>
          <w:color w:val="auto"/>
          <w:highlight w:val="none"/>
          <w:lang w:val="en-US" w:eastAsia="zh-CN"/>
        </w:rPr>
      </w:pPr>
      <w:r>
        <w:rPr>
          <w:rFonts w:hint="eastAsia" w:ascii="黑体" w:hAnsi="黑体" w:eastAsia="黑体" w:cs="黑体"/>
          <w:b/>
          <w:bCs/>
          <w:color w:val="auto"/>
          <w:highlight w:val="none"/>
          <w:lang w:val="en-US" w:eastAsia="zh-CN"/>
        </w:rPr>
        <w:t xml:space="preserve">6.4.6 </w:t>
      </w:r>
      <w:r>
        <w:rPr>
          <w:rFonts w:hint="eastAsia" w:ascii="Times New Roman" w:hAnsi="Times New Roman" w:eastAsia="宋体" w:cs="Times New Roman"/>
          <w:b w:val="0"/>
          <w:bCs w:val="0"/>
          <w:color w:val="auto"/>
          <w:highlight w:val="none"/>
          <w:lang w:val="en-US" w:eastAsia="zh-CN"/>
        </w:rPr>
        <w:t>热力管道的设计应符合现行行业标准《城镇供热管网设计规范》CIJ34和《城镇供热管网结构设计规范》CJJ105的有关规定，</w:t>
      </w:r>
    </w:p>
    <w:p w14:paraId="55EDD9B3">
      <w:pPr>
        <w:rPr>
          <w:rFonts w:hint="eastAsia" w:ascii="Times New Roman" w:hAnsi="Times New Roman" w:eastAsia="宋体" w:cs="Times New Roman"/>
          <w:b w:val="0"/>
          <w:bCs w:val="0"/>
          <w:color w:val="auto"/>
          <w:highlight w:val="none"/>
          <w:lang w:val="en-US" w:eastAsia="zh-CN"/>
        </w:rPr>
      </w:pPr>
      <w:r>
        <w:rPr>
          <w:rFonts w:hint="eastAsia" w:ascii="黑体" w:hAnsi="黑体" w:eastAsia="黑体" w:cs="黑体"/>
          <w:b/>
          <w:bCs/>
          <w:color w:val="auto"/>
          <w:highlight w:val="none"/>
          <w:lang w:val="en-US" w:eastAsia="zh-CN"/>
        </w:rPr>
        <w:t xml:space="preserve">6.4.7 </w:t>
      </w:r>
      <w:r>
        <w:rPr>
          <w:rFonts w:hint="eastAsia" w:ascii="Times New Roman" w:hAnsi="Times New Roman" w:eastAsia="宋体" w:cs="Times New Roman"/>
          <w:b w:val="0"/>
          <w:bCs w:val="0"/>
          <w:color w:val="auto"/>
          <w:highlight w:val="none"/>
          <w:lang w:val="en-US" w:eastAsia="zh-CN"/>
        </w:rPr>
        <w:t>热力管道及配件保温材料应采用难燃材料或不燃材料。</w:t>
      </w:r>
    </w:p>
    <w:p w14:paraId="7F851C26">
      <w:pPr>
        <w:rPr>
          <w:rFonts w:hint="eastAsia" w:ascii="黑体" w:hAnsi="黑体" w:eastAsia="黑体" w:cs="黑体"/>
          <w:b w:val="0"/>
          <w:bCs w:val="0"/>
          <w:color w:val="auto"/>
          <w:highlight w:val="none"/>
          <w:lang w:val="en-US" w:eastAsia="zh-CN"/>
        </w:rPr>
      </w:pPr>
      <w:r>
        <w:rPr>
          <w:rFonts w:hint="eastAsia" w:ascii="黑体" w:hAnsi="黑体" w:eastAsia="黑体" w:cs="黑体"/>
          <w:b/>
          <w:bCs/>
          <w:color w:val="auto"/>
          <w:highlight w:val="none"/>
          <w:lang w:val="en-US" w:eastAsia="zh-CN"/>
        </w:rPr>
        <w:t xml:space="preserve">6.4.8 </w:t>
      </w:r>
      <w:r>
        <w:rPr>
          <w:rFonts w:hint="eastAsia" w:ascii="Times New Roman" w:hAnsi="Times New Roman" w:eastAsia="宋体" w:cs="Times New Roman"/>
          <w:b w:val="0"/>
          <w:bCs w:val="0"/>
          <w:color w:val="auto"/>
          <w:highlight w:val="none"/>
          <w:lang w:val="en-US" w:eastAsia="zh-CN"/>
        </w:rPr>
        <w:t>热力管道采用热水介质时，应在高点设排气装置，低点设排水装置，排出的水排入集水坑。</w:t>
      </w:r>
    </w:p>
    <w:p w14:paraId="31C687C0">
      <w:pPr>
        <w:rPr>
          <w:rFonts w:hint="eastAsia" w:ascii="Times New Roman" w:hAnsi="Times New Roman" w:eastAsia="宋体" w:cs="Times New Roman"/>
          <w:b w:val="0"/>
          <w:bCs w:val="0"/>
          <w:color w:val="auto"/>
          <w:highlight w:val="none"/>
          <w:lang w:val="en-US" w:eastAsia="zh-CN"/>
        </w:rPr>
      </w:pPr>
      <w:r>
        <w:rPr>
          <w:rFonts w:hint="eastAsia" w:ascii="黑体" w:hAnsi="黑体" w:eastAsia="黑体" w:cs="黑体"/>
          <w:b/>
          <w:bCs/>
          <w:color w:val="auto"/>
          <w:highlight w:val="none"/>
          <w:lang w:val="en-US" w:eastAsia="zh-CN"/>
        </w:rPr>
        <w:t xml:space="preserve">6.4.9 </w:t>
      </w:r>
      <w:r>
        <w:rPr>
          <w:rFonts w:hint="eastAsia" w:ascii="Times New Roman" w:hAnsi="Times New Roman" w:eastAsia="宋体" w:cs="Times New Roman"/>
          <w:b w:val="0"/>
          <w:bCs w:val="0"/>
          <w:color w:val="auto"/>
          <w:highlight w:val="none"/>
          <w:lang w:val="en-US" w:eastAsia="zh-CN"/>
        </w:rPr>
        <w:t>热力管道的阀门、阀件系统、伸缩补偿器设计压力宜按提高一个压力等级设计。</w:t>
      </w:r>
    </w:p>
    <w:p w14:paraId="2024247F">
      <w:pPr>
        <w:rPr>
          <w:rFonts w:hint="eastAsia" w:ascii="Times New Roman" w:hAnsi="Times New Roman" w:eastAsia="宋体" w:cs="Times New Roman"/>
          <w:b w:val="0"/>
          <w:bCs w:val="0"/>
          <w:color w:val="auto"/>
          <w:sz w:val="21"/>
          <w:szCs w:val="21"/>
          <w:highlight w:val="none"/>
          <w:lang w:val="en-US" w:eastAsia="zh-CN"/>
        </w:rPr>
      </w:pPr>
      <w:r>
        <w:rPr>
          <w:rFonts w:hint="eastAsia" w:ascii="黑体" w:hAnsi="黑体" w:eastAsia="黑体" w:cs="黑体"/>
          <w:b/>
          <w:bCs/>
          <w:color w:val="auto"/>
          <w:highlight w:val="none"/>
          <w:lang w:val="en-US" w:eastAsia="zh-CN"/>
        </w:rPr>
        <w:t xml:space="preserve">6.4.10 </w:t>
      </w:r>
      <w:r>
        <w:rPr>
          <w:rFonts w:hint="eastAsia" w:ascii="Times New Roman" w:hAnsi="Times New Roman" w:eastAsia="宋体" w:cs="Times New Roman"/>
          <w:b w:val="0"/>
          <w:bCs w:val="0"/>
          <w:color w:val="auto"/>
          <w:highlight w:val="none"/>
          <w:lang w:val="en-US" w:eastAsia="zh-CN"/>
        </w:rPr>
        <w:t>热力管道支撑的型式、间距、周定方式、补偿应通过计算确定固定管墩(架)应能满足抗水平推力的要求</w:t>
      </w:r>
      <w:r>
        <w:rPr>
          <w:rFonts w:hint="eastAsia" w:ascii="Times New Roman" w:hAnsi="Times New Roman" w:cs="Times New Roman"/>
          <w:b w:val="0"/>
          <w:bCs w:val="0"/>
          <w:color w:val="auto"/>
          <w:highlight w:val="none"/>
          <w:lang w:val="en-US" w:eastAsia="zh-CN"/>
        </w:rPr>
        <w:t>。</w:t>
      </w:r>
    </w:p>
    <w:p w14:paraId="11F4D461">
      <w:pPr>
        <w:pStyle w:val="34"/>
        <w:spacing w:before="156" w:beforeLines="50" w:after="156" w:afterLines="50"/>
        <w:outlineLvl w:val="2"/>
        <w:rPr>
          <w:rFonts w:ascii="黑体" w:hAnsi="黑体" w:cs="黑体"/>
          <w:color w:val="auto"/>
          <w:sz w:val="21"/>
          <w:szCs w:val="21"/>
          <w:highlight w:val="none"/>
        </w:rPr>
      </w:pPr>
      <w:bookmarkStart w:id="98" w:name="_Toc26063"/>
      <w:bookmarkStart w:id="99" w:name="_Toc31418"/>
      <w:bookmarkStart w:id="100" w:name="_Toc3743"/>
      <w:r>
        <w:rPr>
          <w:rFonts w:hint="eastAsia" w:ascii="黑体" w:hAnsi="黑体" w:cs="黑体"/>
          <w:color w:val="auto"/>
          <w:sz w:val="21"/>
          <w:szCs w:val="21"/>
          <w:highlight w:val="none"/>
        </w:rPr>
        <w:t>6.</w:t>
      </w:r>
      <w:r>
        <w:rPr>
          <w:rFonts w:hint="eastAsia" w:ascii="黑体" w:hAnsi="黑体" w:cs="黑体"/>
          <w:color w:val="auto"/>
          <w:sz w:val="21"/>
          <w:szCs w:val="21"/>
          <w:highlight w:val="none"/>
          <w:lang w:val="en-US" w:eastAsia="zh-CN"/>
        </w:rPr>
        <w:t>5</w:t>
      </w:r>
      <w:r>
        <w:rPr>
          <w:rFonts w:hint="eastAsia" w:ascii="黑体" w:hAnsi="黑体" w:cs="黑体"/>
          <w:color w:val="auto"/>
          <w:sz w:val="21"/>
          <w:szCs w:val="21"/>
          <w:highlight w:val="none"/>
        </w:rPr>
        <w:t xml:space="preserve"> 电力电缆</w:t>
      </w:r>
      <w:bookmarkEnd w:id="98"/>
      <w:bookmarkEnd w:id="99"/>
      <w:bookmarkEnd w:id="100"/>
    </w:p>
    <w:p w14:paraId="78843B51">
      <w:pPr>
        <w:rPr>
          <w:rFonts w:hint="eastAsia" w:ascii="Times New Roman" w:hAnsi="Times New Roman"/>
          <w:color w:val="auto"/>
          <w:highlight w:val="none"/>
        </w:rPr>
      </w:pPr>
      <w:r>
        <w:rPr>
          <w:rFonts w:hint="eastAsia" w:ascii="黑体" w:hAnsi="黑体" w:eastAsia="黑体" w:cs="黑体"/>
          <w:b/>
          <w:bCs/>
          <w:color w:val="auto"/>
          <w:highlight w:val="none"/>
        </w:rPr>
        <w:t>6.</w:t>
      </w:r>
      <w:r>
        <w:rPr>
          <w:rFonts w:hint="eastAsia" w:ascii="黑体" w:hAnsi="黑体" w:eastAsia="黑体" w:cs="黑体"/>
          <w:b/>
          <w:bCs/>
          <w:color w:val="auto"/>
          <w:highlight w:val="none"/>
          <w:lang w:val="en-US" w:eastAsia="zh-CN"/>
        </w:rPr>
        <w:t>5</w:t>
      </w:r>
      <w:r>
        <w:rPr>
          <w:rFonts w:hint="eastAsia" w:ascii="黑体" w:hAnsi="黑体" w:eastAsia="黑体" w:cs="黑体"/>
          <w:b/>
          <w:bCs/>
          <w:color w:val="auto"/>
          <w:highlight w:val="none"/>
        </w:rPr>
        <w:t xml:space="preserve">.1 </w:t>
      </w:r>
      <w:r>
        <w:rPr>
          <w:rFonts w:hint="eastAsia" w:ascii="Times New Roman" w:hAnsi="Times New Roman"/>
          <w:color w:val="auto"/>
          <w:highlight w:val="none"/>
        </w:rPr>
        <w:t>敷设在小型综合管廊内的电力电缆应符合现行工程建设强制性国家规范《建筑防火通用规范》GB55037的有关规定。</w:t>
      </w:r>
      <w:r>
        <w:rPr>
          <w:rFonts w:hint="eastAsia" w:ascii="Times New Roman" w:hAnsi="Times New Roman"/>
          <w:color w:val="auto"/>
          <w:highlight w:val="none"/>
          <w:lang w:val="en-US" w:eastAsia="zh-CN"/>
        </w:rPr>
        <w:t>220</w:t>
      </w:r>
      <w:r>
        <w:rPr>
          <w:rFonts w:hint="eastAsia" w:ascii="Times New Roman" w:hAnsi="Times New Roman"/>
          <w:color w:val="auto"/>
          <w:highlight w:val="none"/>
        </w:rPr>
        <w:t>kV</w:t>
      </w:r>
      <w:r>
        <w:rPr>
          <w:rFonts w:hint="eastAsia" w:ascii="Times New Roman" w:hAnsi="Times New Roman"/>
          <w:color w:val="auto"/>
          <w:highlight w:val="none"/>
          <w:lang w:val="en-US" w:eastAsia="zh-CN"/>
        </w:rPr>
        <w:t>及以下</w:t>
      </w:r>
      <w:r>
        <w:rPr>
          <w:rFonts w:hint="eastAsia" w:ascii="Times New Roman" w:hAnsi="Times New Roman"/>
          <w:color w:val="auto"/>
          <w:highlight w:val="none"/>
        </w:rPr>
        <w:t>高压电力电缆</w:t>
      </w:r>
      <w:r>
        <w:rPr>
          <w:rFonts w:hint="eastAsia" w:ascii="Times New Roman" w:hAnsi="Times New Roman"/>
          <w:color w:val="auto"/>
          <w:highlight w:val="none"/>
          <w:lang w:val="en-US" w:eastAsia="zh-CN"/>
        </w:rPr>
        <w:t>可</w:t>
      </w:r>
      <w:r>
        <w:rPr>
          <w:rFonts w:hint="eastAsia" w:ascii="Times New Roman" w:hAnsi="Times New Roman"/>
          <w:color w:val="auto"/>
          <w:highlight w:val="none"/>
        </w:rPr>
        <w:t>敷设在小型综合管廊内。</w:t>
      </w:r>
    </w:p>
    <w:p w14:paraId="02C52A5E">
      <w:pPr>
        <w:rPr>
          <w:rFonts w:hint="eastAsia" w:ascii="Times New Roman" w:hAnsi="Times New Roman"/>
          <w:color w:val="auto"/>
          <w:highlight w:val="none"/>
        </w:rPr>
      </w:pPr>
      <w:r>
        <w:rPr>
          <w:rFonts w:hint="eastAsia" w:ascii="Times New Roman" w:hAnsi="Times New Roman" w:eastAsiaTheme="minorEastAsia"/>
          <w:color w:val="auto"/>
          <w:highlight w:val="none"/>
          <w:lang w:eastAsia="zh-CN"/>
        </w:rPr>
        <w:t>【</w:t>
      </w:r>
      <w:r>
        <w:rPr>
          <w:rFonts w:hint="eastAsia" w:ascii="Times New Roman" w:hAnsi="Times New Roman" w:eastAsia="宋体"/>
          <w:b/>
          <w:bCs/>
          <w:color w:val="auto"/>
          <w:highlight w:val="none"/>
          <w:lang w:val="en-US" w:eastAsia="zh-CN"/>
        </w:rPr>
        <w:t>条文说明：</w:t>
      </w:r>
      <w:r>
        <w:rPr>
          <w:rFonts w:hint="eastAsia" w:ascii="Times New Roman" w:hAnsi="Times New Roman" w:cs="Times New Roman" w:eastAsiaTheme="minorEastAsia"/>
          <w:color w:val="auto"/>
          <w:sz w:val="21"/>
          <w:szCs w:val="21"/>
          <w:highlight w:val="none"/>
          <w:lang w:val="en-US" w:eastAsia="zh-CN"/>
        </w:rPr>
        <w:t>220KV</w:t>
      </w:r>
      <w:r>
        <w:rPr>
          <w:rFonts w:hint="eastAsia" w:ascii="Times New Roman" w:hAnsi="Times New Roman"/>
          <w:color w:val="auto"/>
          <w:highlight w:val="none"/>
        </w:rPr>
        <w:t>高压电力电缆</w:t>
      </w:r>
      <w:r>
        <w:rPr>
          <w:rFonts w:hint="eastAsia" w:ascii="Times New Roman" w:hAnsi="Times New Roman"/>
          <w:color w:val="auto"/>
          <w:highlight w:val="none"/>
          <w:lang w:val="en-US" w:eastAsia="zh-CN"/>
        </w:rPr>
        <w:t>可结合项目实际情况选择是否纳入小型综合管廊，</w:t>
      </w:r>
      <w:r>
        <w:rPr>
          <w:rFonts w:hint="eastAsia" w:ascii="宋体" w:hAnsi="宋体" w:cs="宋体"/>
          <w:color w:val="auto"/>
          <w:highlight w:val="none"/>
        </w:rPr>
        <w:t>纳入前需重点论证其对管廊整体布置的适应性</w:t>
      </w:r>
      <w:r>
        <w:rPr>
          <w:rFonts w:hint="eastAsia" w:ascii="宋体" w:hAnsi="宋体" w:cs="宋体"/>
          <w:color w:val="auto"/>
          <w:highlight w:val="none"/>
          <w:lang w:val="en-US" w:eastAsia="zh-CN"/>
        </w:rPr>
        <w:t>及安全性</w:t>
      </w:r>
      <w:r>
        <w:rPr>
          <w:rFonts w:hint="eastAsia" w:ascii="Times New Roman" w:hAnsi="Times New Roman" w:eastAsiaTheme="minorEastAsia"/>
          <w:color w:val="auto"/>
          <w:highlight w:val="none"/>
          <w:lang w:val="en-US" w:eastAsia="zh-CN"/>
        </w:rPr>
        <w:t>。</w:t>
      </w:r>
      <w:r>
        <w:rPr>
          <w:rFonts w:hint="eastAsia" w:ascii="Times New Roman" w:hAnsi="Times New Roman" w:eastAsiaTheme="minorEastAsia"/>
          <w:color w:val="auto"/>
          <w:highlight w:val="none"/>
          <w:lang w:eastAsia="zh-CN"/>
        </w:rPr>
        <w:t>】</w:t>
      </w:r>
    </w:p>
    <w:p w14:paraId="2C8FD14F">
      <w:pPr>
        <w:rPr>
          <w:rFonts w:ascii="Times New Roman" w:hAnsi="Times New Roman"/>
          <w:color w:val="auto"/>
          <w:highlight w:val="none"/>
        </w:rPr>
      </w:pPr>
      <w:r>
        <w:rPr>
          <w:rFonts w:hint="eastAsia" w:ascii="黑体" w:hAnsi="黑体" w:eastAsia="黑体" w:cs="黑体"/>
          <w:b/>
          <w:bCs/>
          <w:color w:val="auto"/>
          <w:highlight w:val="none"/>
        </w:rPr>
        <w:t>6.</w:t>
      </w:r>
      <w:r>
        <w:rPr>
          <w:rFonts w:hint="eastAsia" w:ascii="黑体" w:hAnsi="黑体" w:eastAsia="黑体" w:cs="黑体"/>
          <w:b/>
          <w:bCs/>
          <w:color w:val="auto"/>
          <w:highlight w:val="none"/>
          <w:lang w:val="en-US" w:eastAsia="zh-CN"/>
        </w:rPr>
        <w:t>5</w:t>
      </w:r>
      <w:r>
        <w:rPr>
          <w:rFonts w:hint="eastAsia" w:ascii="黑体" w:hAnsi="黑体" w:eastAsia="黑体" w:cs="黑体"/>
          <w:b/>
          <w:bCs/>
          <w:color w:val="auto"/>
          <w:highlight w:val="none"/>
        </w:rPr>
        <w:t>.</w:t>
      </w:r>
      <w:r>
        <w:rPr>
          <w:rFonts w:hint="eastAsia" w:ascii="黑体" w:hAnsi="黑体" w:eastAsia="黑体" w:cs="黑体"/>
          <w:b/>
          <w:bCs/>
          <w:color w:val="auto"/>
          <w:highlight w:val="none"/>
          <w:lang w:val="en-US" w:eastAsia="zh-CN"/>
        </w:rPr>
        <w:t>2</w:t>
      </w:r>
      <w:r>
        <w:rPr>
          <w:rFonts w:hint="eastAsia" w:ascii="Times New Roman" w:hAnsi="Times New Roman"/>
          <w:color w:val="auto"/>
          <w:highlight w:val="none"/>
        </w:rPr>
        <w:t xml:space="preserve"> 电力电缆敷设安装应按支架形式设计，宜优先使用成品专用支架，采用钢质电缆支架时，应采用热镀锌处理等防腐措施，并应符合现行国家 标准《电力工程电缆设计规范》GB</w:t>
      </w:r>
      <w:r>
        <w:rPr>
          <w:rFonts w:hint="eastAsia" w:ascii="Times New Roman" w:hAnsi="Times New Roman"/>
          <w:color w:val="auto"/>
          <w:highlight w:val="none"/>
          <w:lang w:val="en-US" w:eastAsia="zh-CN"/>
        </w:rPr>
        <w:t xml:space="preserve"> </w:t>
      </w:r>
      <w:r>
        <w:rPr>
          <w:rFonts w:hint="eastAsia" w:ascii="Times New Roman" w:hAnsi="Times New Roman"/>
          <w:color w:val="auto"/>
          <w:highlight w:val="none"/>
        </w:rPr>
        <w:t>50217和《交流电气装置的接地 设计规范》GB/T</w:t>
      </w:r>
      <w:r>
        <w:rPr>
          <w:rFonts w:hint="eastAsia" w:ascii="Times New Roman" w:hAnsi="Times New Roman"/>
          <w:color w:val="auto"/>
          <w:highlight w:val="none"/>
          <w:lang w:val="en-US" w:eastAsia="zh-CN"/>
        </w:rPr>
        <w:t xml:space="preserve"> </w:t>
      </w:r>
      <w:r>
        <w:rPr>
          <w:rFonts w:hint="eastAsia" w:ascii="Times New Roman" w:hAnsi="Times New Roman"/>
          <w:color w:val="auto"/>
          <w:highlight w:val="none"/>
        </w:rPr>
        <w:t>50065的有关规定。</w:t>
      </w:r>
    </w:p>
    <w:p w14:paraId="245D8CFB">
      <w:pPr>
        <w:rPr>
          <w:rFonts w:ascii="Times New Roman" w:hAnsi="Times New Roman"/>
          <w:color w:val="auto"/>
          <w:highlight w:val="none"/>
        </w:rPr>
      </w:pPr>
      <w:r>
        <w:rPr>
          <w:rFonts w:hint="eastAsia" w:ascii="黑体" w:hAnsi="黑体" w:eastAsia="黑体" w:cs="黑体"/>
          <w:b/>
          <w:bCs/>
          <w:color w:val="auto"/>
          <w:highlight w:val="none"/>
        </w:rPr>
        <w:t>6.</w:t>
      </w:r>
      <w:r>
        <w:rPr>
          <w:rFonts w:hint="eastAsia" w:ascii="黑体" w:hAnsi="黑体" w:eastAsia="黑体" w:cs="黑体"/>
          <w:b/>
          <w:bCs/>
          <w:color w:val="auto"/>
          <w:highlight w:val="none"/>
          <w:lang w:val="en-US" w:eastAsia="zh-CN"/>
        </w:rPr>
        <w:t>5</w:t>
      </w:r>
      <w:r>
        <w:rPr>
          <w:rFonts w:hint="eastAsia" w:ascii="黑体" w:hAnsi="黑体" w:eastAsia="黑体" w:cs="黑体"/>
          <w:b/>
          <w:bCs/>
          <w:color w:val="auto"/>
          <w:highlight w:val="none"/>
        </w:rPr>
        <w:t>.</w:t>
      </w:r>
      <w:r>
        <w:rPr>
          <w:rFonts w:hint="eastAsia" w:ascii="黑体" w:hAnsi="黑体" w:eastAsia="黑体" w:cs="黑体"/>
          <w:b/>
          <w:bCs/>
          <w:color w:val="auto"/>
          <w:highlight w:val="none"/>
          <w:lang w:val="en-US" w:eastAsia="zh-CN"/>
        </w:rPr>
        <w:t>3</w:t>
      </w:r>
      <w:r>
        <w:rPr>
          <w:rFonts w:hint="eastAsia" w:ascii="黑体" w:hAnsi="黑体" w:eastAsia="黑体" w:cs="黑体"/>
          <w:b/>
          <w:bCs/>
          <w:color w:val="auto"/>
          <w:highlight w:val="none"/>
        </w:rPr>
        <w:t xml:space="preserve"> </w:t>
      </w:r>
      <w:r>
        <w:rPr>
          <w:rFonts w:hint="eastAsia" w:ascii="Times New Roman" w:hAnsi="Times New Roman"/>
          <w:color w:val="auto"/>
          <w:highlight w:val="none"/>
        </w:rPr>
        <w:t>不同电压等级的电缆不宜敷设于同一层支架上。</w:t>
      </w:r>
    </w:p>
    <w:p w14:paraId="09D0B664">
      <w:pPr>
        <w:pStyle w:val="34"/>
        <w:spacing w:before="156" w:beforeLines="50" w:after="156" w:afterLines="50"/>
        <w:outlineLvl w:val="2"/>
        <w:rPr>
          <w:rFonts w:ascii="黑体" w:hAnsi="黑体" w:cs="黑体"/>
          <w:color w:val="auto"/>
          <w:sz w:val="21"/>
          <w:szCs w:val="21"/>
          <w:highlight w:val="none"/>
        </w:rPr>
      </w:pPr>
      <w:bookmarkStart w:id="101" w:name="_Toc8285"/>
      <w:bookmarkStart w:id="102" w:name="_Toc30839"/>
      <w:bookmarkStart w:id="103" w:name="_Toc14549"/>
      <w:r>
        <w:rPr>
          <w:rFonts w:hint="eastAsia" w:ascii="黑体" w:hAnsi="黑体" w:cs="黑体"/>
          <w:color w:val="auto"/>
          <w:sz w:val="21"/>
          <w:szCs w:val="21"/>
          <w:highlight w:val="none"/>
        </w:rPr>
        <w:t>6.</w:t>
      </w:r>
      <w:r>
        <w:rPr>
          <w:rFonts w:hint="eastAsia" w:ascii="黑体" w:hAnsi="黑体" w:cs="黑体"/>
          <w:color w:val="auto"/>
          <w:sz w:val="21"/>
          <w:szCs w:val="21"/>
          <w:highlight w:val="none"/>
          <w:lang w:val="en-US" w:eastAsia="zh-CN"/>
        </w:rPr>
        <w:t>6</w:t>
      </w:r>
      <w:r>
        <w:rPr>
          <w:rFonts w:hint="eastAsia" w:ascii="黑体" w:hAnsi="黑体" w:cs="黑体"/>
          <w:color w:val="auto"/>
          <w:sz w:val="21"/>
          <w:szCs w:val="21"/>
          <w:highlight w:val="none"/>
        </w:rPr>
        <w:t xml:space="preserve"> 通信线缆</w:t>
      </w:r>
      <w:bookmarkEnd w:id="101"/>
      <w:bookmarkEnd w:id="102"/>
      <w:bookmarkEnd w:id="103"/>
      <w:bookmarkStart w:id="204" w:name="_GoBack"/>
      <w:bookmarkEnd w:id="204"/>
    </w:p>
    <w:p w14:paraId="26F1E27C">
      <w:pPr>
        <w:rPr>
          <w:rFonts w:ascii="Times New Roman" w:hAnsi="Times New Roman"/>
          <w:color w:val="auto"/>
          <w:highlight w:val="none"/>
        </w:rPr>
      </w:pPr>
      <w:r>
        <w:rPr>
          <w:rFonts w:hint="eastAsia" w:ascii="黑体" w:hAnsi="黑体" w:eastAsia="黑体" w:cs="黑体"/>
          <w:b/>
          <w:bCs/>
          <w:color w:val="auto"/>
          <w:highlight w:val="none"/>
        </w:rPr>
        <w:t>6.</w:t>
      </w:r>
      <w:r>
        <w:rPr>
          <w:rFonts w:hint="eastAsia" w:ascii="黑体" w:hAnsi="黑体" w:eastAsia="黑体" w:cs="黑体"/>
          <w:b/>
          <w:bCs/>
          <w:color w:val="auto"/>
          <w:highlight w:val="none"/>
          <w:lang w:val="en-US" w:eastAsia="zh-CN"/>
        </w:rPr>
        <w:t>6</w:t>
      </w:r>
      <w:r>
        <w:rPr>
          <w:rFonts w:hint="eastAsia" w:ascii="黑体" w:hAnsi="黑体" w:eastAsia="黑体" w:cs="黑体"/>
          <w:b/>
          <w:bCs/>
          <w:color w:val="auto"/>
          <w:highlight w:val="none"/>
        </w:rPr>
        <w:t>.1</w:t>
      </w:r>
      <w:r>
        <w:rPr>
          <w:rFonts w:hint="eastAsia" w:ascii="Times New Roman" w:hAnsi="Times New Roman"/>
          <w:color w:val="auto"/>
          <w:highlight w:val="none"/>
        </w:rPr>
        <w:t xml:space="preserve"> 通信线缆应采用阻燃线缆。</w:t>
      </w:r>
    </w:p>
    <w:p w14:paraId="68DE082E">
      <w:pPr>
        <w:rPr>
          <w:rFonts w:hint="eastAsia" w:ascii="Times New Roman" w:hAnsi="Times New Roman"/>
          <w:color w:val="auto"/>
          <w:highlight w:val="none"/>
        </w:rPr>
      </w:pPr>
      <w:r>
        <w:rPr>
          <w:rFonts w:hint="eastAsia" w:ascii="黑体" w:hAnsi="黑体" w:eastAsia="黑体" w:cs="黑体"/>
          <w:b/>
          <w:bCs/>
          <w:color w:val="auto"/>
          <w:highlight w:val="none"/>
        </w:rPr>
        <w:t>6.</w:t>
      </w:r>
      <w:r>
        <w:rPr>
          <w:rFonts w:hint="eastAsia" w:ascii="黑体" w:hAnsi="黑体" w:eastAsia="黑体" w:cs="黑体"/>
          <w:b/>
          <w:bCs/>
          <w:color w:val="auto"/>
          <w:highlight w:val="none"/>
          <w:lang w:val="en-US" w:eastAsia="zh-CN"/>
        </w:rPr>
        <w:t>6</w:t>
      </w:r>
      <w:r>
        <w:rPr>
          <w:rFonts w:hint="eastAsia" w:ascii="黑体" w:hAnsi="黑体" w:eastAsia="黑体" w:cs="黑体"/>
          <w:b/>
          <w:bCs/>
          <w:color w:val="auto"/>
          <w:highlight w:val="none"/>
        </w:rPr>
        <w:t xml:space="preserve">.2 </w:t>
      </w:r>
      <w:r>
        <w:rPr>
          <w:rFonts w:hint="eastAsia" w:ascii="Times New Roman" w:hAnsi="Times New Roman"/>
          <w:color w:val="auto"/>
          <w:highlight w:val="none"/>
        </w:rPr>
        <w:t>通信线缆敷设安装应按桥架形式设计，并应符合国家现行标准《综合布线系统工程设计规范》GB50311和《光缆进线室设计规定》YD/T 5151的有关规定。</w:t>
      </w:r>
    </w:p>
    <w:p w14:paraId="653C6370">
      <w:pPr>
        <w:rPr>
          <w:rFonts w:ascii="Times New Roman" w:hAnsi="Times New Roman" w:eastAsiaTheme="minorEastAsia"/>
          <w:color w:val="auto"/>
          <w:sz w:val="28"/>
          <w:highlight w:val="none"/>
        </w:rPr>
      </w:pPr>
      <w:r>
        <w:rPr>
          <w:rFonts w:hint="eastAsia" w:ascii="Times New Roman" w:hAnsi="Times New Roman" w:eastAsiaTheme="minorEastAsia"/>
          <w:color w:val="auto"/>
          <w:highlight w:val="none"/>
          <w:lang w:eastAsia="zh-CN"/>
        </w:rPr>
        <w:t>【</w:t>
      </w:r>
      <w:r>
        <w:rPr>
          <w:rFonts w:hint="eastAsia" w:ascii="Times New Roman" w:hAnsi="Times New Roman" w:eastAsia="宋体"/>
          <w:b/>
          <w:bCs/>
          <w:color w:val="auto"/>
          <w:highlight w:val="none"/>
          <w:lang w:val="en-US" w:eastAsia="zh-CN"/>
        </w:rPr>
        <w:t>条文说明：</w:t>
      </w:r>
      <w:r>
        <w:rPr>
          <w:rFonts w:hint="eastAsia" w:ascii="Times New Roman" w:hAnsi="Times New Roman" w:eastAsiaTheme="minorEastAsia"/>
          <w:color w:val="auto"/>
          <w:highlight w:val="none"/>
          <w:lang w:val="en-US" w:eastAsia="zh-CN"/>
        </w:rPr>
        <w:t>小型综合管廊优先采用梯形桥架。</w:t>
      </w:r>
      <w:r>
        <w:rPr>
          <w:rFonts w:hint="eastAsia" w:ascii="Times New Roman" w:hAnsi="Times New Roman" w:eastAsiaTheme="minorEastAsia"/>
          <w:color w:val="auto"/>
          <w:highlight w:val="none"/>
          <w:lang w:eastAsia="zh-CN"/>
        </w:rPr>
        <w:t>】</w:t>
      </w:r>
      <w:r>
        <w:rPr>
          <w:rFonts w:ascii="Times New Roman" w:hAnsi="Times New Roman" w:eastAsiaTheme="minorEastAsia"/>
          <w:color w:val="auto"/>
          <w:sz w:val="28"/>
          <w:highlight w:val="none"/>
        </w:rPr>
        <w:br w:type="page"/>
      </w:r>
    </w:p>
    <w:p w14:paraId="4C524465">
      <w:pPr>
        <w:pStyle w:val="2"/>
        <w:spacing w:before="300" w:after="300" w:line="400" w:lineRule="exact"/>
        <w:jc w:val="center"/>
        <w:rPr>
          <w:rFonts w:ascii="黑体" w:hAnsi="黑体"/>
          <w:color w:val="auto"/>
          <w:highlight w:val="none"/>
        </w:rPr>
      </w:pPr>
      <w:bookmarkStart w:id="104" w:name="_Toc22614"/>
      <w:bookmarkStart w:id="105" w:name="_Toc165020565"/>
      <w:bookmarkStart w:id="106" w:name="_Toc6333"/>
      <w:bookmarkStart w:id="107" w:name="_Toc27671"/>
      <w:r>
        <w:rPr>
          <w:rFonts w:hint="eastAsia" w:ascii="黑体" w:hAnsi="黑体"/>
          <w:color w:val="auto"/>
          <w:highlight w:val="none"/>
        </w:rPr>
        <w:t>7  附属设施设计</w:t>
      </w:r>
      <w:bookmarkEnd w:id="104"/>
      <w:bookmarkEnd w:id="105"/>
      <w:bookmarkEnd w:id="106"/>
      <w:bookmarkEnd w:id="107"/>
    </w:p>
    <w:p w14:paraId="0B16B75A">
      <w:pPr>
        <w:pStyle w:val="34"/>
        <w:spacing w:before="156" w:beforeLines="50" w:after="156" w:afterLines="50" w:line="400" w:lineRule="exact"/>
        <w:outlineLvl w:val="2"/>
        <w:rPr>
          <w:rFonts w:ascii="黑体" w:hAnsi="黑体" w:cs="黑体"/>
          <w:color w:val="auto"/>
          <w:sz w:val="21"/>
          <w:szCs w:val="21"/>
          <w:highlight w:val="none"/>
        </w:rPr>
      </w:pPr>
      <w:bookmarkStart w:id="108" w:name="_Toc10264"/>
      <w:bookmarkStart w:id="109" w:name="_Toc6025"/>
      <w:bookmarkStart w:id="110" w:name="_Toc5826"/>
      <w:r>
        <w:rPr>
          <w:rFonts w:hint="eastAsia" w:ascii="黑体" w:hAnsi="黑体" w:cs="黑体"/>
          <w:color w:val="auto"/>
          <w:sz w:val="21"/>
          <w:szCs w:val="21"/>
          <w:highlight w:val="none"/>
        </w:rPr>
        <w:t>7</w:t>
      </w:r>
      <w:r>
        <w:rPr>
          <w:rFonts w:ascii="黑体" w:hAnsi="黑体" w:cs="黑体"/>
          <w:color w:val="auto"/>
          <w:sz w:val="21"/>
          <w:szCs w:val="21"/>
          <w:highlight w:val="none"/>
        </w:rPr>
        <w:t xml:space="preserve">.1 </w:t>
      </w:r>
      <w:r>
        <w:rPr>
          <w:rFonts w:hint="eastAsia" w:ascii="黑体" w:hAnsi="黑体" w:cs="黑体"/>
          <w:color w:val="auto"/>
          <w:sz w:val="21"/>
          <w:szCs w:val="21"/>
          <w:highlight w:val="none"/>
        </w:rPr>
        <w:t>消防</w:t>
      </w:r>
      <w:bookmarkEnd w:id="108"/>
      <w:bookmarkEnd w:id="109"/>
      <w:bookmarkEnd w:id="110"/>
    </w:p>
    <w:p w14:paraId="0184B750">
      <w:pPr>
        <w:rPr>
          <w:rFonts w:ascii="Times New Roman" w:hAnsi="Times New Roman"/>
          <w:color w:val="auto"/>
          <w:highlight w:val="none"/>
        </w:rPr>
      </w:pPr>
      <w:r>
        <w:rPr>
          <w:rFonts w:ascii="黑体" w:hAnsi="黑体" w:eastAsia="黑体" w:cs="黑体"/>
          <w:b/>
          <w:bCs/>
          <w:color w:val="auto"/>
          <w:highlight w:val="none"/>
        </w:rPr>
        <w:t>7.1.</w:t>
      </w:r>
      <w:r>
        <w:rPr>
          <w:rFonts w:hint="eastAsia" w:ascii="黑体" w:hAnsi="黑体" w:eastAsia="黑体" w:cs="黑体"/>
          <w:b/>
          <w:bCs/>
          <w:color w:val="auto"/>
          <w:highlight w:val="none"/>
        </w:rPr>
        <w:t>1</w:t>
      </w:r>
      <w:r>
        <w:rPr>
          <w:rFonts w:ascii="Times New Roman" w:hAnsi="Times New Roman"/>
          <w:color w:val="auto"/>
          <w:highlight w:val="none"/>
        </w:rPr>
        <w:t xml:space="preserve"> </w:t>
      </w:r>
      <w:r>
        <w:rPr>
          <w:rFonts w:hint="eastAsia" w:ascii="Times New Roman" w:hAnsi="Times New Roman"/>
          <w:color w:val="auto"/>
          <w:highlight w:val="none"/>
        </w:rPr>
        <w:t>综合管廊消防系统应符合现行工程建设强制性国家规范《建筑防火通用规范》G</w:t>
      </w:r>
      <w:r>
        <w:rPr>
          <w:rFonts w:ascii="Times New Roman" w:hAnsi="Times New Roman"/>
          <w:color w:val="auto"/>
          <w:highlight w:val="none"/>
        </w:rPr>
        <w:t>B55037</w:t>
      </w:r>
      <w:r>
        <w:rPr>
          <w:rFonts w:hint="eastAsia" w:ascii="Times New Roman" w:hAnsi="Times New Roman"/>
          <w:color w:val="auto"/>
          <w:highlight w:val="none"/>
        </w:rPr>
        <w:t>中与综合管廊有关的规定：</w:t>
      </w:r>
    </w:p>
    <w:p w14:paraId="5B7933B4">
      <w:pPr>
        <w:ind w:firstLine="567"/>
        <w:rPr>
          <w:rFonts w:ascii="Times New Roman" w:hAnsi="Times New Roman"/>
          <w:color w:val="auto"/>
          <w:highlight w:val="none"/>
        </w:rPr>
      </w:pPr>
      <w:r>
        <w:rPr>
          <w:rFonts w:hint="eastAsia" w:ascii="Times New Roman" w:hAnsi="Times New Roman"/>
          <w:color w:val="auto"/>
          <w:highlight w:val="none"/>
        </w:rPr>
        <w:t>1  敷设有下列管线的小型综合管廊舱室火灾危险性类别应符合表7</w:t>
      </w:r>
      <w:r>
        <w:rPr>
          <w:rFonts w:ascii="Times New Roman" w:hAnsi="Times New Roman"/>
          <w:color w:val="auto"/>
          <w:highlight w:val="none"/>
        </w:rPr>
        <w:t>.1.1</w:t>
      </w:r>
      <w:r>
        <w:rPr>
          <w:rFonts w:hint="eastAsia" w:ascii="Times New Roman" w:hAnsi="Times New Roman"/>
          <w:color w:val="auto"/>
          <w:highlight w:val="none"/>
        </w:rPr>
        <w:t xml:space="preserve">的规定； </w:t>
      </w:r>
    </w:p>
    <w:p w14:paraId="53C170B5">
      <w:pPr>
        <w:ind w:firstLine="567"/>
        <w:jc w:val="center"/>
        <w:rPr>
          <w:rFonts w:ascii="Times New Roman" w:hAnsi="Times New Roman"/>
          <w:color w:val="auto"/>
          <w:highlight w:val="none"/>
        </w:rPr>
      </w:pPr>
      <w:r>
        <w:rPr>
          <w:rFonts w:hint="eastAsia" w:asciiTheme="minorEastAsia" w:hAnsiTheme="minorEastAsia" w:eastAsiaTheme="minorEastAsia"/>
          <w:color w:val="auto"/>
          <w:highlight w:val="none"/>
        </w:rPr>
        <w:t>表</w:t>
      </w:r>
      <w:r>
        <w:rPr>
          <w:rFonts w:asciiTheme="minorEastAsia" w:hAnsiTheme="minorEastAsia" w:eastAsiaTheme="minorEastAsia"/>
          <w:color w:val="auto"/>
          <w:highlight w:val="none"/>
        </w:rPr>
        <w:t>7.1.1</w:t>
      </w:r>
      <w:r>
        <w:rPr>
          <w:rFonts w:hint="eastAsia" w:asciiTheme="minorEastAsia" w:hAnsiTheme="minorEastAsia" w:eastAsiaTheme="minorEastAsia"/>
          <w:color w:val="auto"/>
          <w:highlight w:val="none"/>
        </w:rPr>
        <w:t xml:space="preserve"> </w:t>
      </w:r>
      <w:r>
        <w:rPr>
          <w:rFonts w:asciiTheme="minorEastAsia" w:hAnsiTheme="minorEastAsia" w:eastAsiaTheme="minorEastAsia"/>
          <w:color w:val="auto"/>
          <w:highlight w:val="none"/>
        </w:rPr>
        <w:t xml:space="preserve"> </w:t>
      </w:r>
      <w:r>
        <w:rPr>
          <w:rFonts w:hint="eastAsia" w:asciiTheme="minorEastAsia" w:hAnsiTheme="minorEastAsia" w:eastAsiaTheme="minorEastAsia"/>
          <w:color w:val="auto"/>
          <w:highlight w:val="none"/>
        </w:rPr>
        <w:t>小型综合管廊舱室火灾危险性类别</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47"/>
        <w:gridCol w:w="2125"/>
        <w:gridCol w:w="3261"/>
      </w:tblGrid>
      <w:tr w14:paraId="6F965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72" w:type="dxa"/>
            <w:gridSpan w:val="2"/>
            <w:vAlign w:val="center"/>
          </w:tcPr>
          <w:p w14:paraId="3F0DBFC6">
            <w:pPr>
              <w:jc w:val="center"/>
              <w:rPr>
                <w:rFonts w:ascii="Times New Roman" w:hAnsi="Times New Roman"/>
                <w:color w:val="auto"/>
                <w:highlight w:val="none"/>
              </w:rPr>
            </w:pPr>
            <w:r>
              <w:rPr>
                <w:rFonts w:hint="eastAsia" w:ascii="Times New Roman" w:hAnsi="Times New Roman"/>
                <w:color w:val="auto"/>
                <w:highlight w:val="none"/>
              </w:rPr>
              <w:t>舱室内容纳管线种类</w:t>
            </w:r>
          </w:p>
        </w:tc>
        <w:tc>
          <w:tcPr>
            <w:tcW w:w="3261" w:type="dxa"/>
            <w:vAlign w:val="center"/>
          </w:tcPr>
          <w:p w14:paraId="0D82D79D">
            <w:pPr>
              <w:jc w:val="center"/>
              <w:rPr>
                <w:rFonts w:ascii="Times New Roman" w:hAnsi="Times New Roman"/>
                <w:color w:val="auto"/>
                <w:highlight w:val="none"/>
              </w:rPr>
            </w:pPr>
            <w:r>
              <w:rPr>
                <w:rFonts w:hint="eastAsia" w:ascii="Times New Roman" w:hAnsi="Times New Roman"/>
                <w:color w:val="auto"/>
                <w:highlight w:val="none"/>
              </w:rPr>
              <w:t>舱室火灾危险性类别</w:t>
            </w:r>
          </w:p>
        </w:tc>
      </w:tr>
      <w:tr w14:paraId="591AF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72" w:type="dxa"/>
            <w:gridSpan w:val="2"/>
            <w:vAlign w:val="center"/>
          </w:tcPr>
          <w:p w14:paraId="76750796">
            <w:pPr>
              <w:jc w:val="center"/>
              <w:rPr>
                <w:rFonts w:ascii="Times New Roman" w:hAnsi="Times New Roman"/>
                <w:color w:val="auto"/>
                <w:highlight w:val="none"/>
              </w:rPr>
            </w:pPr>
            <w:r>
              <w:rPr>
                <w:rFonts w:hint="eastAsia" w:ascii="Times New Roman" w:hAnsi="Times New Roman"/>
                <w:color w:val="auto"/>
                <w:highlight w:val="none"/>
              </w:rPr>
              <w:t>阻燃电力电缆</w:t>
            </w:r>
          </w:p>
        </w:tc>
        <w:tc>
          <w:tcPr>
            <w:tcW w:w="3261" w:type="dxa"/>
            <w:vAlign w:val="center"/>
          </w:tcPr>
          <w:p w14:paraId="02B0F105">
            <w:pPr>
              <w:jc w:val="center"/>
              <w:rPr>
                <w:rFonts w:ascii="Times New Roman" w:hAnsi="Times New Roman"/>
                <w:color w:val="auto"/>
                <w:highlight w:val="none"/>
              </w:rPr>
            </w:pPr>
            <w:r>
              <w:rPr>
                <w:rFonts w:hint="eastAsia" w:ascii="Times New Roman" w:hAnsi="Times New Roman"/>
                <w:color w:val="auto"/>
                <w:highlight w:val="none"/>
              </w:rPr>
              <w:t>丙</w:t>
            </w:r>
          </w:p>
        </w:tc>
      </w:tr>
      <w:tr w14:paraId="2CBB2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72" w:type="dxa"/>
            <w:gridSpan w:val="2"/>
            <w:vAlign w:val="center"/>
          </w:tcPr>
          <w:p w14:paraId="79ED25AE">
            <w:pPr>
              <w:jc w:val="center"/>
              <w:rPr>
                <w:rFonts w:ascii="Times New Roman" w:hAnsi="Times New Roman"/>
                <w:color w:val="auto"/>
                <w:highlight w:val="none"/>
              </w:rPr>
            </w:pPr>
            <w:r>
              <w:rPr>
                <w:rFonts w:hint="eastAsia" w:ascii="Times New Roman" w:hAnsi="Times New Roman"/>
                <w:color w:val="auto"/>
                <w:highlight w:val="none"/>
              </w:rPr>
              <w:t>通信线缆</w:t>
            </w:r>
          </w:p>
        </w:tc>
        <w:tc>
          <w:tcPr>
            <w:tcW w:w="3261" w:type="dxa"/>
            <w:vAlign w:val="center"/>
          </w:tcPr>
          <w:p w14:paraId="19CB7102">
            <w:pPr>
              <w:jc w:val="center"/>
              <w:rPr>
                <w:rFonts w:ascii="Times New Roman" w:hAnsi="Times New Roman"/>
                <w:color w:val="auto"/>
                <w:highlight w:val="none"/>
              </w:rPr>
            </w:pPr>
            <w:r>
              <w:rPr>
                <w:rFonts w:hint="eastAsia" w:ascii="Times New Roman" w:hAnsi="Times New Roman"/>
                <w:color w:val="auto"/>
                <w:highlight w:val="none"/>
              </w:rPr>
              <w:t>丙</w:t>
            </w:r>
          </w:p>
        </w:tc>
      </w:tr>
      <w:tr w14:paraId="323C7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72" w:type="dxa"/>
            <w:gridSpan w:val="2"/>
            <w:shd w:val="clear" w:color="auto" w:fill="auto"/>
            <w:vAlign w:val="center"/>
          </w:tcPr>
          <w:p w14:paraId="01805547">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olor w:val="auto"/>
                <w:highlight w:val="none"/>
                <w:lang w:val="en-US" w:eastAsia="zh-CN"/>
              </w:rPr>
              <w:t>热力</w:t>
            </w:r>
          </w:p>
        </w:tc>
        <w:tc>
          <w:tcPr>
            <w:tcW w:w="3261" w:type="dxa"/>
            <w:shd w:val="clear" w:color="auto" w:fill="auto"/>
            <w:vAlign w:val="center"/>
          </w:tcPr>
          <w:p w14:paraId="1EDBC7A9">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olor w:val="auto"/>
                <w:highlight w:val="none"/>
              </w:rPr>
              <w:t>丙</w:t>
            </w:r>
          </w:p>
        </w:tc>
      </w:tr>
      <w:tr w14:paraId="0F482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72" w:type="dxa"/>
            <w:gridSpan w:val="2"/>
            <w:vAlign w:val="center"/>
          </w:tcPr>
          <w:p w14:paraId="233AA46C">
            <w:pPr>
              <w:jc w:val="center"/>
              <w:rPr>
                <w:rFonts w:ascii="Times New Roman" w:hAnsi="Times New Roman"/>
                <w:color w:val="auto"/>
                <w:highlight w:val="none"/>
              </w:rPr>
            </w:pPr>
            <w:r>
              <w:rPr>
                <w:rFonts w:hint="eastAsia" w:ascii="Times New Roman" w:hAnsi="Times New Roman"/>
                <w:color w:val="auto"/>
                <w:highlight w:val="none"/>
              </w:rPr>
              <w:t>污水管道</w:t>
            </w:r>
          </w:p>
        </w:tc>
        <w:tc>
          <w:tcPr>
            <w:tcW w:w="3261" w:type="dxa"/>
            <w:vAlign w:val="center"/>
          </w:tcPr>
          <w:p w14:paraId="1BC27D28">
            <w:pPr>
              <w:jc w:val="center"/>
              <w:rPr>
                <w:rFonts w:ascii="Times New Roman" w:hAnsi="Times New Roman"/>
                <w:color w:val="auto"/>
                <w:highlight w:val="none"/>
              </w:rPr>
            </w:pPr>
            <w:r>
              <w:rPr>
                <w:rFonts w:hint="eastAsia" w:ascii="Times New Roman" w:hAnsi="Times New Roman"/>
                <w:color w:val="auto"/>
                <w:highlight w:val="none"/>
              </w:rPr>
              <w:t>丁</w:t>
            </w:r>
          </w:p>
        </w:tc>
      </w:tr>
      <w:tr w14:paraId="179FF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547" w:type="dxa"/>
            <w:vMerge w:val="restart"/>
            <w:vAlign w:val="center"/>
          </w:tcPr>
          <w:p w14:paraId="5E99B25E">
            <w:pPr>
              <w:jc w:val="center"/>
              <w:rPr>
                <w:rFonts w:ascii="Times New Roman" w:hAnsi="Times New Roman"/>
                <w:color w:val="auto"/>
                <w:highlight w:val="none"/>
              </w:rPr>
            </w:pPr>
            <w:r>
              <w:rPr>
                <w:rFonts w:hint="eastAsia" w:ascii="Times New Roman" w:hAnsi="Times New Roman"/>
                <w:color w:val="auto"/>
                <w:highlight w:val="none"/>
              </w:rPr>
              <w:t>雨水管道、给水管道、再生水管道</w:t>
            </w:r>
          </w:p>
        </w:tc>
        <w:tc>
          <w:tcPr>
            <w:tcW w:w="2125" w:type="dxa"/>
            <w:vAlign w:val="center"/>
          </w:tcPr>
          <w:p w14:paraId="495CAE98">
            <w:pPr>
              <w:jc w:val="center"/>
              <w:rPr>
                <w:rFonts w:ascii="Times New Roman" w:hAnsi="Times New Roman"/>
                <w:color w:val="auto"/>
                <w:highlight w:val="none"/>
              </w:rPr>
            </w:pPr>
            <w:r>
              <w:rPr>
                <w:rFonts w:hint="eastAsia" w:ascii="Times New Roman" w:hAnsi="Times New Roman"/>
                <w:color w:val="auto"/>
                <w:highlight w:val="none"/>
              </w:rPr>
              <w:t>塑料管等难燃管材</w:t>
            </w:r>
          </w:p>
        </w:tc>
        <w:tc>
          <w:tcPr>
            <w:tcW w:w="3261" w:type="dxa"/>
            <w:vAlign w:val="center"/>
          </w:tcPr>
          <w:p w14:paraId="03A2CD05">
            <w:pPr>
              <w:jc w:val="center"/>
              <w:rPr>
                <w:rFonts w:ascii="Times New Roman" w:hAnsi="Times New Roman"/>
                <w:color w:val="auto"/>
                <w:highlight w:val="none"/>
              </w:rPr>
            </w:pPr>
            <w:r>
              <w:rPr>
                <w:rFonts w:hint="eastAsia" w:ascii="Times New Roman" w:hAnsi="Times New Roman"/>
                <w:color w:val="auto"/>
                <w:highlight w:val="none"/>
              </w:rPr>
              <w:t>丁</w:t>
            </w:r>
          </w:p>
        </w:tc>
      </w:tr>
      <w:tr w14:paraId="66BCC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547" w:type="dxa"/>
            <w:vMerge w:val="continue"/>
            <w:vAlign w:val="center"/>
          </w:tcPr>
          <w:p w14:paraId="6FCB0D4D">
            <w:pPr>
              <w:jc w:val="center"/>
              <w:rPr>
                <w:rFonts w:ascii="Times New Roman" w:hAnsi="Times New Roman"/>
                <w:color w:val="auto"/>
                <w:highlight w:val="none"/>
              </w:rPr>
            </w:pPr>
          </w:p>
        </w:tc>
        <w:tc>
          <w:tcPr>
            <w:tcW w:w="2125" w:type="dxa"/>
            <w:vAlign w:val="center"/>
          </w:tcPr>
          <w:p w14:paraId="5BCA2BB9">
            <w:pPr>
              <w:jc w:val="center"/>
              <w:rPr>
                <w:rFonts w:ascii="Times New Roman" w:hAnsi="Times New Roman"/>
                <w:color w:val="auto"/>
                <w:highlight w:val="none"/>
              </w:rPr>
            </w:pPr>
            <w:r>
              <w:rPr>
                <w:rFonts w:hint="eastAsia" w:ascii="Times New Roman" w:hAnsi="Times New Roman"/>
                <w:color w:val="auto"/>
                <w:highlight w:val="none"/>
              </w:rPr>
              <w:t>钢管、球墨铸铁管等不燃管材</w:t>
            </w:r>
          </w:p>
        </w:tc>
        <w:tc>
          <w:tcPr>
            <w:tcW w:w="3261" w:type="dxa"/>
            <w:vAlign w:val="center"/>
          </w:tcPr>
          <w:p w14:paraId="75FC2FA5">
            <w:pPr>
              <w:jc w:val="center"/>
              <w:rPr>
                <w:rFonts w:ascii="Times New Roman" w:hAnsi="Times New Roman"/>
                <w:color w:val="auto"/>
                <w:highlight w:val="none"/>
              </w:rPr>
            </w:pPr>
            <w:r>
              <w:rPr>
                <w:rFonts w:hint="eastAsia" w:ascii="Times New Roman" w:hAnsi="Times New Roman"/>
                <w:color w:val="auto"/>
                <w:highlight w:val="none"/>
              </w:rPr>
              <w:t>戊</w:t>
            </w:r>
          </w:p>
        </w:tc>
      </w:tr>
    </w:tbl>
    <w:p w14:paraId="73F177F1">
      <w:pPr>
        <w:ind w:firstLine="567"/>
        <w:rPr>
          <w:rFonts w:ascii="Times New Roman" w:hAnsi="Times New Roman"/>
          <w:color w:val="auto"/>
          <w:highlight w:val="none"/>
        </w:rPr>
      </w:pPr>
      <w:r>
        <w:rPr>
          <w:rFonts w:hint="eastAsia" w:ascii="Times New Roman" w:hAnsi="Times New Roman"/>
          <w:color w:val="auto"/>
          <w:highlight w:val="none"/>
        </w:rPr>
        <w:t xml:space="preserve">2 </w:t>
      </w:r>
      <w:r>
        <w:rPr>
          <w:rFonts w:ascii="Times New Roman" w:hAnsi="Times New Roman"/>
          <w:color w:val="auto"/>
          <w:highlight w:val="none"/>
        </w:rPr>
        <w:t xml:space="preserve"> </w:t>
      </w:r>
      <w:r>
        <w:rPr>
          <w:rFonts w:hint="eastAsia" w:ascii="Times New Roman" w:hAnsi="Times New Roman"/>
          <w:color w:val="auto"/>
          <w:highlight w:val="none"/>
        </w:rPr>
        <w:t>当舱室内含有两类及以上管线时，舱室火灾危险性类别应按火灾危险性较大的管线确定。</w:t>
      </w:r>
    </w:p>
    <w:p w14:paraId="11934F17">
      <w:pPr>
        <w:rPr>
          <w:rFonts w:ascii="Times New Roman" w:hAnsi="Times New Roman"/>
          <w:color w:val="auto"/>
          <w:highlight w:val="none"/>
        </w:rPr>
      </w:pPr>
      <w:r>
        <w:rPr>
          <w:rFonts w:hint="eastAsia" w:ascii="黑体" w:hAnsi="黑体" w:eastAsia="黑体" w:cs="黑体"/>
          <w:b/>
          <w:bCs/>
          <w:color w:val="auto"/>
          <w:highlight w:val="none"/>
        </w:rPr>
        <w:t>7</w:t>
      </w:r>
      <w:r>
        <w:rPr>
          <w:rFonts w:ascii="黑体" w:hAnsi="黑体" w:eastAsia="黑体" w:cs="黑体"/>
          <w:b/>
          <w:bCs/>
          <w:color w:val="auto"/>
          <w:highlight w:val="none"/>
        </w:rPr>
        <w:t xml:space="preserve">.1.2 </w:t>
      </w:r>
      <w:r>
        <w:rPr>
          <w:rFonts w:hint="eastAsia" w:ascii="Times New Roman" w:hAnsi="Times New Roman" w:eastAsia="宋体" w:cs="Times New Roman"/>
          <w:b w:val="0"/>
          <w:bCs w:val="0"/>
          <w:color w:val="auto"/>
          <w:highlight w:val="none"/>
          <w:lang w:val="en-US" w:eastAsia="zh-CN"/>
        </w:rPr>
        <w:t>小型</w:t>
      </w:r>
      <w:r>
        <w:rPr>
          <w:rFonts w:hint="eastAsia" w:ascii="Times New Roman" w:hAnsi="Times New Roman"/>
          <w:color w:val="auto"/>
          <w:highlight w:val="none"/>
        </w:rPr>
        <w:t>综合管廊各舱室应根据火灾危险性类别，结合附属设施的设置、火灾概率及其特点等因素，可采取下列一种或多种防火措施：</w:t>
      </w:r>
    </w:p>
    <w:p w14:paraId="5B4DE69E">
      <w:pPr>
        <w:ind w:firstLine="567"/>
        <w:rPr>
          <w:rFonts w:ascii="Times New Roman" w:hAnsi="Times New Roman"/>
          <w:color w:val="auto"/>
          <w:highlight w:val="none"/>
        </w:rPr>
      </w:pPr>
      <w:r>
        <w:rPr>
          <w:rFonts w:hint="eastAsia" w:ascii="Times New Roman" w:hAnsi="Times New Roman"/>
          <w:color w:val="auto"/>
          <w:highlight w:val="none"/>
        </w:rPr>
        <w:t>1</w:t>
      </w:r>
      <w:r>
        <w:rPr>
          <w:rFonts w:ascii="Times New Roman" w:hAnsi="Times New Roman"/>
          <w:color w:val="auto"/>
          <w:highlight w:val="none"/>
        </w:rPr>
        <w:t xml:space="preserve"> </w:t>
      </w:r>
      <w:r>
        <w:rPr>
          <w:rFonts w:hint="eastAsia" w:ascii="Times New Roman" w:hAnsi="Times New Roman"/>
          <w:color w:val="auto"/>
          <w:highlight w:val="none"/>
        </w:rPr>
        <w:t>设置防火构造；</w:t>
      </w:r>
    </w:p>
    <w:p w14:paraId="56951D41">
      <w:pPr>
        <w:ind w:firstLine="567"/>
        <w:rPr>
          <w:rFonts w:ascii="Times New Roman" w:hAnsi="Times New Roman"/>
          <w:color w:val="auto"/>
          <w:highlight w:val="none"/>
        </w:rPr>
      </w:pPr>
      <w:r>
        <w:rPr>
          <w:rFonts w:hint="eastAsia" w:ascii="Times New Roman" w:hAnsi="Times New Roman"/>
          <w:color w:val="auto"/>
          <w:highlight w:val="none"/>
        </w:rPr>
        <w:t>2</w:t>
      </w:r>
      <w:r>
        <w:rPr>
          <w:rFonts w:ascii="Times New Roman" w:hAnsi="Times New Roman"/>
          <w:color w:val="auto"/>
          <w:highlight w:val="none"/>
        </w:rPr>
        <w:t xml:space="preserve"> </w:t>
      </w:r>
      <w:r>
        <w:rPr>
          <w:rFonts w:hint="eastAsia" w:ascii="Times New Roman" w:hAnsi="Times New Roman"/>
          <w:color w:val="auto"/>
          <w:highlight w:val="none"/>
        </w:rPr>
        <w:t>阻燃防护和防止延燃；</w:t>
      </w:r>
    </w:p>
    <w:p w14:paraId="319028FF">
      <w:pPr>
        <w:ind w:firstLine="567"/>
        <w:rPr>
          <w:rFonts w:ascii="Times New Roman" w:hAnsi="Times New Roman"/>
          <w:color w:val="auto"/>
          <w:highlight w:val="none"/>
        </w:rPr>
      </w:pPr>
      <w:r>
        <w:rPr>
          <w:rFonts w:ascii="Times New Roman" w:hAnsi="Times New Roman"/>
          <w:color w:val="auto"/>
          <w:highlight w:val="none"/>
        </w:rPr>
        <w:t xml:space="preserve">3 </w:t>
      </w:r>
      <w:r>
        <w:rPr>
          <w:rFonts w:hint="eastAsia" w:ascii="Times New Roman" w:hAnsi="Times New Roman"/>
          <w:color w:val="auto"/>
          <w:highlight w:val="none"/>
        </w:rPr>
        <w:t>设置消防器材；</w:t>
      </w:r>
    </w:p>
    <w:p w14:paraId="02818513">
      <w:pPr>
        <w:ind w:firstLine="567"/>
        <w:rPr>
          <w:rFonts w:ascii="Times New Roman" w:hAnsi="Times New Roman"/>
          <w:color w:val="auto"/>
          <w:highlight w:val="none"/>
        </w:rPr>
      </w:pPr>
      <w:r>
        <w:rPr>
          <w:rFonts w:hint="eastAsia" w:ascii="Times New Roman" w:hAnsi="Times New Roman"/>
          <w:color w:val="auto"/>
          <w:highlight w:val="none"/>
        </w:rPr>
        <w:t>4</w:t>
      </w:r>
      <w:r>
        <w:rPr>
          <w:rFonts w:ascii="Times New Roman" w:hAnsi="Times New Roman"/>
          <w:color w:val="auto"/>
          <w:highlight w:val="none"/>
        </w:rPr>
        <w:t xml:space="preserve"> </w:t>
      </w:r>
      <w:r>
        <w:rPr>
          <w:rFonts w:hint="eastAsia" w:ascii="Times New Roman" w:hAnsi="Times New Roman"/>
          <w:color w:val="auto"/>
          <w:highlight w:val="none"/>
        </w:rPr>
        <w:t>设置火灾自动报警系统。</w:t>
      </w:r>
    </w:p>
    <w:p w14:paraId="3DDAD37D">
      <w:pPr>
        <w:rPr>
          <w:rFonts w:hint="eastAsia" w:ascii="Times New Roman" w:hAnsi="Times New Roman"/>
          <w:color w:val="auto"/>
          <w:highlight w:val="none"/>
        </w:rPr>
      </w:pPr>
      <w:r>
        <w:rPr>
          <w:rFonts w:hint="eastAsia" w:ascii="黑体" w:hAnsi="黑体" w:eastAsia="黑体" w:cs="黑体"/>
          <w:b/>
          <w:bCs/>
          <w:color w:val="auto"/>
          <w:highlight w:val="none"/>
        </w:rPr>
        <w:t>7</w:t>
      </w:r>
      <w:r>
        <w:rPr>
          <w:rFonts w:ascii="黑体" w:hAnsi="黑体" w:eastAsia="黑体" w:cs="黑体"/>
          <w:b/>
          <w:bCs/>
          <w:color w:val="auto"/>
          <w:highlight w:val="none"/>
        </w:rPr>
        <w:t xml:space="preserve">.1.3 </w:t>
      </w:r>
      <w:r>
        <w:rPr>
          <w:rFonts w:hint="eastAsia" w:ascii="Times New Roman" w:hAnsi="Times New Roman"/>
          <w:color w:val="auto"/>
          <w:highlight w:val="none"/>
        </w:rPr>
        <w:t>小型综合管廊交叉口及各舱室交叉部位应采用耐火极限不低于3.0h的不燃性墙体进行防火分隔，管线穿越防火隔断部位应采用阻火包等防火封堵措施进行严密封堵。在电力电缆贯穿综合管廊墙体的孔洞处，应实施防火封堵。防火封堵组件的耐火极限不应低于3.0h。</w:t>
      </w:r>
    </w:p>
    <w:p w14:paraId="4472A22A">
      <w:pPr>
        <w:rPr>
          <w:rFonts w:ascii="Times New Roman" w:hAnsi="Times New Roman"/>
          <w:color w:val="auto"/>
          <w:highlight w:val="none"/>
        </w:rPr>
      </w:pPr>
      <w:r>
        <w:rPr>
          <w:rFonts w:hint="eastAsia" w:ascii="Times New Roman" w:hAnsi="Times New Roman"/>
          <w:color w:val="auto"/>
          <w:highlight w:val="none"/>
        </w:rPr>
        <w:t>【</w:t>
      </w:r>
      <w:r>
        <w:rPr>
          <w:rFonts w:hint="eastAsia" w:ascii="Times New Roman" w:hAnsi="Times New Roman"/>
          <w:b/>
          <w:bCs/>
          <w:color w:val="auto"/>
          <w:highlight w:val="none"/>
        </w:rPr>
        <w:t>条文说明</w:t>
      </w:r>
      <w:r>
        <w:rPr>
          <w:rFonts w:hint="eastAsia" w:ascii="Times New Roman" w:hAnsi="Times New Roman"/>
          <w:b/>
          <w:bCs/>
          <w:color w:val="auto"/>
          <w:highlight w:val="none"/>
        </w:rPr>
        <w:t>：</w:t>
      </w:r>
      <w:r>
        <w:rPr>
          <w:rFonts w:hint="eastAsia" w:ascii="Times New Roman" w:hAnsi="Times New Roman"/>
          <w:color w:val="auto"/>
          <w:highlight w:val="none"/>
        </w:rPr>
        <w:t>本条</w:t>
      </w:r>
      <w:r>
        <w:rPr>
          <w:rFonts w:hint="eastAsia" w:ascii="Times New Roman" w:hAnsi="Times New Roman"/>
          <w:color w:val="auto"/>
          <w:highlight w:val="none"/>
          <w:lang w:val="en-US" w:eastAsia="zh-CN"/>
        </w:rPr>
        <w:t>结合小型综合管廊内部空气流通需求、火灾发生概率及影响程度统筹考虑，当小型综合管廊敷设有电力电缆时，宜在电缆侧间隔不大于200m设置防火分隔，沿线不设甲级防火门</w:t>
      </w:r>
      <w:r>
        <w:rPr>
          <w:rFonts w:hint="eastAsia" w:ascii="Times New Roman" w:hAnsi="Times New Roman"/>
          <w:color w:val="auto"/>
          <w:highlight w:val="none"/>
        </w:rPr>
        <w:t>。】</w:t>
      </w:r>
    </w:p>
    <w:p w14:paraId="0EF034FD">
      <w:pPr>
        <w:rPr>
          <w:rFonts w:ascii="Times New Roman" w:hAnsi="Times New Roman"/>
          <w:color w:val="auto"/>
          <w:highlight w:val="none"/>
        </w:rPr>
      </w:pPr>
      <w:r>
        <w:rPr>
          <w:rFonts w:hint="eastAsia" w:ascii="黑体" w:hAnsi="黑体" w:eastAsia="黑体" w:cs="黑体"/>
          <w:b/>
          <w:bCs/>
          <w:color w:val="auto"/>
          <w:highlight w:val="none"/>
        </w:rPr>
        <w:t>7.1.</w:t>
      </w:r>
      <w:r>
        <w:rPr>
          <w:rFonts w:ascii="黑体" w:hAnsi="黑体" w:eastAsia="黑体" w:cs="黑体"/>
          <w:b/>
          <w:bCs/>
          <w:color w:val="auto"/>
          <w:highlight w:val="none"/>
        </w:rPr>
        <w:t>4</w:t>
      </w:r>
      <w:r>
        <w:rPr>
          <w:rFonts w:hint="eastAsia" w:ascii="黑体" w:hAnsi="黑体" w:eastAsia="黑体" w:cs="黑体"/>
          <w:b/>
          <w:bCs/>
          <w:color w:val="auto"/>
          <w:highlight w:val="none"/>
        </w:rPr>
        <w:t xml:space="preserve"> </w:t>
      </w:r>
      <w:r>
        <w:rPr>
          <w:rFonts w:hint="eastAsia" w:ascii="Times New Roman" w:hAnsi="Times New Roman"/>
          <w:color w:val="auto"/>
          <w:highlight w:val="none"/>
        </w:rPr>
        <w:t>小型综合管廊内应在人员出入口、逃生口等处配置2具不小于3kg的手提式干粉灭火器。</w:t>
      </w:r>
    </w:p>
    <w:p w14:paraId="302D7879">
      <w:pPr>
        <w:rPr>
          <w:rFonts w:ascii="Times New Roman" w:hAnsi="Times New Roman"/>
          <w:color w:val="auto"/>
          <w:highlight w:val="none"/>
        </w:rPr>
      </w:pPr>
      <w:r>
        <w:rPr>
          <w:rFonts w:ascii="黑体" w:hAnsi="黑体" w:eastAsia="黑体" w:cs="黑体"/>
          <w:b/>
          <w:bCs/>
          <w:color w:val="auto"/>
          <w:highlight w:val="none"/>
        </w:rPr>
        <w:t>7.1.5</w:t>
      </w:r>
      <w:r>
        <w:rPr>
          <w:rFonts w:hint="eastAsia" w:ascii="黑体" w:hAnsi="黑体" w:eastAsia="黑体" w:cs="黑体"/>
          <w:b/>
          <w:bCs/>
          <w:color w:val="auto"/>
          <w:highlight w:val="none"/>
        </w:rPr>
        <w:t xml:space="preserve"> </w:t>
      </w:r>
      <w:r>
        <w:rPr>
          <w:rFonts w:hint="eastAsia" w:ascii="Times New Roman" w:hAnsi="Times New Roman"/>
          <w:color w:val="auto"/>
          <w:highlight w:val="none"/>
        </w:rPr>
        <w:t xml:space="preserve"> 电力电缆与通信线缆同侧布置时，通信缆线应敷设在阻燃管或耐火电缆槽盒内。</w:t>
      </w:r>
    </w:p>
    <w:p w14:paraId="5B737406">
      <w:pPr>
        <w:rPr>
          <w:rFonts w:ascii="Times New Roman" w:hAnsi="Times New Roman"/>
          <w:color w:val="auto"/>
          <w:highlight w:val="none"/>
        </w:rPr>
      </w:pPr>
      <w:r>
        <w:rPr>
          <w:rFonts w:hint="eastAsia" w:ascii="Times New Roman" w:hAnsi="Times New Roman"/>
          <w:color w:val="auto"/>
          <w:highlight w:val="none"/>
        </w:rPr>
        <w:t>【条文说明：本条规定参照《电力工程电缆设计标准》GB 50217-2018第</w:t>
      </w:r>
      <w:r>
        <w:rPr>
          <w:rFonts w:ascii="Times New Roman" w:hAnsi="Times New Roman"/>
          <w:color w:val="auto"/>
          <w:highlight w:val="none"/>
        </w:rPr>
        <w:t>7.0.2</w:t>
      </w:r>
      <w:r>
        <w:rPr>
          <w:rFonts w:hint="eastAsia" w:ascii="Times New Roman" w:hAnsi="Times New Roman"/>
          <w:color w:val="auto"/>
          <w:highlight w:val="none"/>
        </w:rPr>
        <w:t>条-</w:t>
      </w:r>
      <w:r>
        <w:rPr>
          <w:rFonts w:ascii="Times New Roman" w:hAnsi="Times New Roman"/>
          <w:color w:val="auto"/>
          <w:highlight w:val="none"/>
        </w:rPr>
        <w:t>4</w:t>
      </w:r>
      <w:r>
        <w:rPr>
          <w:rFonts w:hint="eastAsia" w:ascii="Times New Roman" w:hAnsi="Times New Roman"/>
          <w:color w:val="auto"/>
          <w:highlight w:val="none"/>
        </w:rPr>
        <w:t>。】</w:t>
      </w:r>
    </w:p>
    <w:p w14:paraId="7737019D">
      <w:pPr>
        <w:rPr>
          <w:rFonts w:ascii="Times New Roman" w:hAnsi="Times New Roman"/>
          <w:color w:val="auto"/>
          <w:highlight w:val="none"/>
        </w:rPr>
      </w:pPr>
      <w:r>
        <w:rPr>
          <w:rFonts w:ascii="黑体" w:hAnsi="黑体" w:eastAsia="黑体" w:cs="黑体"/>
          <w:b/>
          <w:bCs/>
          <w:color w:val="auto"/>
          <w:highlight w:val="none"/>
        </w:rPr>
        <w:t>7.1.6</w:t>
      </w:r>
      <w:r>
        <w:rPr>
          <w:rFonts w:ascii="Times New Roman" w:hAnsi="Times New Roman"/>
          <w:color w:val="auto"/>
          <w:highlight w:val="none"/>
        </w:rPr>
        <w:t xml:space="preserve"> </w:t>
      </w:r>
      <w:r>
        <w:rPr>
          <w:rFonts w:hint="eastAsia" w:ascii="Times New Roman" w:hAnsi="Times New Roman"/>
          <w:color w:val="auto"/>
          <w:highlight w:val="none"/>
        </w:rPr>
        <w:t>入廊电力电缆应采用燃烧性能不低于B</w:t>
      </w:r>
      <w:r>
        <w:rPr>
          <w:rFonts w:ascii="Times New Roman" w:hAnsi="Times New Roman"/>
          <w:color w:val="auto"/>
          <w:highlight w:val="none"/>
        </w:rPr>
        <w:t>1</w:t>
      </w:r>
      <w:r>
        <w:rPr>
          <w:rFonts w:hint="eastAsia" w:ascii="Times New Roman" w:hAnsi="Times New Roman"/>
          <w:color w:val="auto"/>
          <w:highlight w:val="none"/>
        </w:rPr>
        <w:t xml:space="preserve">级的电缆或阻燃型电线。 </w:t>
      </w:r>
    </w:p>
    <w:p w14:paraId="55A5A8AF">
      <w:pPr>
        <w:rPr>
          <w:rFonts w:ascii="Times New Roman" w:hAnsi="Times New Roman"/>
          <w:color w:val="auto"/>
          <w:highlight w:val="none"/>
        </w:rPr>
      </w:pPr>
      <w:r>
        <w:rPr>
          <w:rFonts w:hint="eastAsia" w:ascii="Times New Roman" w:hAnsi="Times New Roman"/>
          <w:color w:val="auto"/>
          <w:highlight w:val="none"/>
        </w:rPr>
        <w:t>【</w:t>
      </w:r>
      <w:r>
        <w:rPr>
          <w:rFonts w:hint="eastAsia" w:ascii="Times New Roman" w:hAnsi="Times New Roman"/>
          <w:b/>
          <w:bCs/>
          <w:color w:val="auto"/>
          <w:highlight w:val="none"/>
        </w:rPr>
        <w:t>条文说明</w:t>
      </w:r>
      <w:r>
        <w:rPr>
          <w:rFonts w:hint="eastAsia" w:ascii="Times New Roman" w:hAnsi="Times New Roman"/>
          <w:b/>
          <w:bCs/>
          <w:color w:val="auto"/>
          <w:highlight w:val="none"/>
        </w:rPr>
        <w:t>：</w:t>
      </w:r>
      <w:r>
        <w:rPr>
          <w:rFonts w:hint="eastAsia" w:ascii="Times New Roman" w:hAnsi="Times New Roman"/>
          <w:color w:val="auto"/>
          <w:highlight w:val="none"/>
        </w:rPr>
        <w:t>本条规定参照《建筑防火通用规范》GB 55037-2022第</w:t>
      </w:r>
      <w:r>
        <w:rPr>
          <w:rFonts w:ascii="Times New Roman" w:hAnsi="Times New Roman"/>
          <w:color w:val="auto"/>
          <w:highlight w:val="none"/>
        </w:rPr>
        <w:t>10.2.2</w:t>
      </w:r>
      <w:r>
        <w:rPr>
          <w:rFonts w:hint="eastAsia" w:ascii="Times New Roman" w:hAnsi="Times New Roman"/>
          <w:color w:val="auto"/>
          <w:highlight w:val="none"/>
        </w:rPr>
        <w:t>条。】</w:t>
      </w:r>
    </w:p>
    <w:p w14:paraId="4F4537A9">
      <w:pPr>
        <w:rPr>
          <w:rFonts w:ascii="Times New Roman" w:hAnsi="Times New Roman"/>
          <w:color w:val="auto"/>
          <w:highlight w:val="none"/>
        </w:rPr>
      </w:pPr>
      <w:r>
        <w:rPr>
          <w:rFonts w:hint="eastAsia" w:ascii="黑体" w:hAnsi="黑体" w:eastAsia="黑体" w:cs="黑体"/>
          <w:b/>
          <w:bCs/>
          <w:color w:val="auto"/>
          <w:highlight w:val="none"/>
        </w:rPr>
        <w:t>7</w:t>
      </w:r>
      <w:r>
        <w:rPr>
          <w:rFonts w:ascii="黑体" w:hAnsi="黑体" w:eastAsia="黑体" w:cs="黑体"/>
          <w:b/>
          <w:bCs/>
          <w:color w:val="auto"/>
          <w:highlight w:val="none"/>
        </w:rPr>
        <w:t>.1.7</w:t>
      </w:r>
      <w:r>
        <w:rPr>
          <w:rFonts w:ascii="Times New Roman" w:hAnsi="Times New Roman"/>
          <w:color w:val="auto"/>
          <w:highlight w:val="none"/>
        </w:rPr>
        <w:t xml:space="preserve">  </w:t>
      </w:r>
      <w:r>
        <w:rPr>
          <w:rFonts w:hint="eastAsia" w:ascii="Times New Roman" w:hAnsi="Times New Roman"/>
          <w:color w:val="auto"/>
          <w:highlight w:val="none"/>
        </w:rPr>
        <w:t>小型综合管廊内的电力电缆敷设应符合下列规定：</w:t>
      </w:r>
    </w:p>
    <w:p w14:paraId="2D75326D">
      <w:pPr>
        <w:ind w:firstLine="567"/>
        <w:rPr>
          <w:rFonts w:ascii="Times New Roman" w:hAnsi="Times New Roman"/>
          <w:color w:val="auto"/>
          <w:highlight w:val="none"/>
        </w:rPr>
      </w:pPr>
      <w:r>
        <w:rPr>
          <w:rFonts w:hint="eastAsia" w:ascii="Times New Roman" w:hAnsi="Times New Roman"/>
          <w:color w:val="auto"/>
          <w:highlight w:val="none"/>
        </w:rPr>
        <w:t>1</w:t>
      </w:r>
      <w:r>
        <w:rPr>
          <w:rFonts w:ascii="Times New Roman" w:hAnsi="Times New Roman"/>
          <w:color w:val="auto"/>
          <w:highlight w:val="none"/>
        </w:rPr>
        <w:t xml:space="preserve"> </w:t>
      </w:r>
      <w:r>
        <w:rPr>
          <w:rFonts w:hint="eastAsia" w:ascii="Times New Roman" w:hAnsi="Times New Roman"/>
          <w:color w:val="auto"/>
          <w:highlight w:val="none"/>
        </w:rPr>
        <w:t>电力电缆接头处应设置防爆盒等防爆燃措施；</w:t>
      </w:r>
    </w:p>
    <w:p w14:paraId="041C45E2">
      <w:pPr>
        <w:ind w:firstLine="567"/>
        <w:rPr>
          <w:rFonts w:ascii="Times New Roman" w:hAnsi="Times New Roman"/>
          <w:color w:val="auto"/>
          <w:highlight w:val="none"/>
        </w:rPr>
      </w:pPr>
      <w:r>
        <w:rPr>
          <w:rFonts w:hint="eastAsia" w:ascii="Times New Roman" w:hAnsi="Times New Roman"/>
          <w:color w:val="auto"/>
          <w:highlight w:val="none"/>
        </w:rPr>
        <w:t>2</w:t>
      </w:r>
      <w:r>
        <w:rPr>
          <w:rFonts w:ascii="Times New Roman" w:hAnsi="Times New Roman"/>
          <w:color w:val="auto"/>
          <w:highlight w:val="none"/>
        </w:rPr>
        <w:t xml:space="preserve"> </w:t>
      </w:r>
      <w:r>
        <w:rPr>
          <w:rFonts w:hint="eastAsia" w:ascii="Times New Roman" w:hAnsi="Times New Roman"/>
          <w:color w:val="auto"/>
          <w:highlight w:val="none"/>
        </w:rPr>
        <w:t>在电力电缆接头两侧各约3m区段和该范围内临近并行敷设的其他电缆上，应采用防火涂料或阻火包进行防火分隔。</w:t>
      </w:r>
    </w:p>
    <w:p w14:paraId="4BB1B11D">
      <w:pPr>
        <w:rPr>
          <w:rFonts w:ascii="Times New Roman" w:hAnsi="Times New Roman"/>
          <w:color w:val="auto"/>
          <w:highlight w:val="none"/>
        </w:rPr>
      </w:pPr>
      <w:r>
        <w:rPr>
          <w:rFonts w:ascii="黑体" w:hAnsi="黑体" w:eastAsia="黑体" w:cs="黑体"/>
          <w:b/>
          <w:bCs/>
          <w:color w:val="auto"/>
          <w:highlight w:val="none"/>
        </w:rPr>
        <w:t xml:space="preserve">7.1.8 </w:t>
      </w:r>
      <w:r>
        <w:rPr>
          <w:rFonts w:hint="eastAsia" w:ascii="Times New Roman" w:hAnsi="Times New Roman"/>
          <w:color w:val="auto"/>
          <w:highlight w:val="none"/>
        </w:rPr>
        <w:t>入廊通信线缆应采用阻燃线缆。</w:t>
      </w:r>
    </w:p>
    <w:p w14:paraId="0779CFE8">
      <w:pPr>
        <w:rPr>
          <w:rFonts w:ascii="Times New Roman" w:hAnsi="Times New Roman"/>
          <w:color w:val="auto"/>
          <w:highlight w:val="none"/>
        </w:rPr>
      </w:pPr>
      <w:r>
        <w:rPr>
          <w:rFonts w:hint="eastAsia" w:ascii="Times New Roman" w:hAnsi="Times New Roman"/>
          <w:color w:val="auto"/>
          <w:highlight w:val="none"/>
        </w:rPr>
        <w:t>【</w:t>
      </w:r>
      <w:r>
        <w:rPr>
          <w:rFonts w:hint="eastAsia" w:ascii="Times New Roman" w:hAnsi="Times New Roman"/>
          <w:b/>
          <w:bCs/>
          <w:color w:val="auto"/>
          <w:highlight w:val="none"/>
        </w:rPr>
        <w:t>条文说明：</w:t>
      </w:r>
      <w:r>
        <w:rPr>
          <w:rFonts w:hint="eastAsia" w:ascii="Times New Roman" w:hAnsi="Times New Roman"/>
          <w:color w:val="auto"/>
          <w:highlight w:val="none"/>
        </w:rPr>
        <w:t>本条规定与《城市综合管廊工程技术标准（2024年局部修订版）》GB</w:t>
      </w:r>
      <w:r>
        <w:rPr>
          <w:rFonts w:ascii="Times New Roman" w:hAnsi="Times New Roman"/>
          <w:color w:val="auto"/>
          <w:highlight w:val="none"/>
        </w:rPr>
        <w:t>/</w:t>
      </w:r>
      <w:r>
        <w:rPr>
          <w:rFonts w:hint="eastAsia" w:ascii="Times New Roman" w:hAnsi="Times New Roman"/>
          <w:color w:val="auto"/>
          <w:highlight w:val="none"/>
        </w:rPr>
        <w:t>T 50838-2015第</w:t>
      </w:r>
      <w:r>
        <w:rPr>
          <w:rFonts w:ascii="Times New Roman" w:hAnsi="Times New Roman"/>
          <w:color w:val="auto"/>
          <w:highlight w:val="none"/>
        </w:rPr>
        <w:t>6.7.2</w:t>
      </w:r>
      <w:r>
        <w:rPr>
          <w:rFonts w:hint="eastAsia" w:ascii="Times New Roman" w:hAnsi="Times New Roman"/>
          <w:color w:val="auto"/>
          <w:highlight w:val="none"/>
        </w:rPr>
        <w:t>条一致】</w:t>
      </w:r>
    </w:p>
    <w:p w14:paraId="6729AAFB">
      <w:pPr>
        <w:pStyle w:val="34"/>
        <w:spacing w:before="156" w:beforeLines="50" w:after="156" w:afterLines="50" w:line="400" w:lineRule="exact"/>
        <w:outlineLvl w:val="2"/>
        <w:rPr>
          <w:rFonts w:ascii="黑体" w:hAnsi="黑体" w:cs="黑体"/>
          <w:color w:val="auto"/>
          <w:sz w:val="21"/>
          <w:szCs w:val="21"/>
          <w:highlight w:val="none"/>
        </w:rPr>
      </w:pPr>
      <w:bookmarkStart w:id="111" w:name="_Toc8807"/>
      <w:bookmarkStart w:id="112" w:name="_Toc14346"/>
      <w:bookmarkStart w:id="113" w:name="_Toc24230"/>
      <w:r>
        <w:rPr>
          <w:rFonts w:hint="eastAsia" w:ascii="黑体" w:hAnsi="黑体" w:cs="黑体"/>
          <w:color w:val="auto"/>
          <w:sz w:val="21"/>
          <w:szCs w:val="21"/>
          <w:highlight w:val="none"/>
        </w:rPr>
        <w:t>7.</w:t>
      </w:r>
      <w:r>
        <w:rPr>
          <w:rFonts w:ascii="黑体" w:hAnsi="黑体" w:cs="黑体"/>
          <w:color w:val="auto"/>
          <w:sz w:val="21"/>
          <w:szCs w:val="21"/>
          <w:highlight w:val="none"/>
        </w:rPr>
        <w:t>2</w:t>
      </w:r>
      <w:r>
        <w:rPr>
          <w:rFonts w:hint="eastAsia" w:ascii="黑体" w:hAnsi="黑体" w:cs="黑体"/>
          <w:color w:val="auto"/>
          <w:sz w:val="21"/>
          <w:szCs w:val="21"/>
          <w:highlight w:val="none"/>
        </w:rPr>
        <w:t xml:space="preserve"> 通风</w:t>
      </w:r>
      <w:bookmarkEnd w:id="111"/>
      <w:bookmarkEnd w:id="112"/>
      <w:bookmarkEnd w:id="113"/>
    </w:p>
    <w:p w14:paraId="449145C3">
      <w:pPr>
        <w:rPr>
          <w:rFonts w:hint="eastAsia" w:ascii="Times New Roman" w:hAnsi="Times New Roman"/>
          <w:color w:val="auto"/>
          <w:highlight w:val="none"/>
        </w:rPr>
      </w:pPr>
      <w:r>
        <w:rPr>
          <w:rFonts w:ascii="黑体" w:hAnsi="黑体" w:cs="黑体"/>
          <w:b/>
          <w:color w:val="auto"/>
          <w:highlight w:val="none"/>
        </w:rPr>
        <w:t>7</w:t>
      </w:r>
      <w:r>
        <w:rPr>
          <w:rFonts w:hint="eastAsia" w:ascii="黑体" w:hAnsi="黑体" w:cs="黑体"/>
          <w:b/>
          <w:color w:val="auto"/>
          <w:highlight w:val="none"/>
        </w:rPr>
        <w:t>.</w:t>
      </w:r>
      <w:r>
        <w:rPr>
          <w:rFonts w:ascii="黑体" w:hAnsi="黑体" w:cs="黑体"/>
          <w:b/>
          <w:color w:val="auto"/>
          <w:highlight w:val="none"/>
        </w:rPr>
        <w:t>2.1</w:t>
      </w:r>
      <w:r>
        <w:rPr>
          <w:rFonts w:hint="eastAsia" w:ascii="Times New Roman" w:hAnsi="Times New Roman"/>
          <w:color w:val="auto"/>
          <w:highlight w:val="none"/>
        </w:rPr>
        <w:t xml:space="preserve"> 小型综合管廊</w:t>
      </w:r>
      <w:r>
        <w:rPr>
          <w:rFonts w:hint="eastAsia" w:ascii="Times New Roman" w:hAnsi="Times New Roman"/>
          <w:color w:val="auto"/>
          <w:highlight w:val="none"/>
          <w:lang w:val="en-US" w:eastAsia="zh-CN"/>
        </w:rPr>
        <w:t>宜</w:t>
      </w:r>
      <w:r>
        <w:rPr>
          <w:rFonts w:hint="eastAsia" w:ascii="Times New Roman" w:hAnsi="Times New Roman"/>
          <w:color w:val="auto"/>
          <w:highlight w:val="none"/>
        </w:rPr>
        <w:t>采用自然通风形式，事故通风可采用临时通风设施满足换气次数。</w:t>
      </w:r>
    </w:p>
    <w:p w14:paraId="142E16DE">
      <w:pPr>
        <w:rPr>
          <w:rFonts w:ascii="Times New Roman" w:hAnsi="Times New Roman"/>
          <w:color w:val="auto"/>
          <w:highlight w:val="none"/>
        </w:rPr>
      </w:pPr>
      <w:r>
        <w:rPr>
          <w:rFonts w:ascii="黑体" w:hAnsi="黑体" w:cs="黑体"/>
          <w:b/>
          <w:color w:val="auto"/>
          <w:highlight w:val="none"/>
        </w:rPr>
        <w:t>7</w:t>
      </w:r>
      <w:r>
        <w:rPr>
          <w:rFonts w:hint="eastAsia" w:ascii="黑体" w:hAnsi="黑体" w:cs="黑体"/>
          <w:b/>
          <w:color w:val="auto"/>
          <w:highlight w:val="none"/>
        </w:rPr>
        <w:t>.</w:t>
      </w:r>
      <w:r>
        <w:rPr>
          <w:rFonts w:ascii="黑体" w:hAnsi="黑体" w:cs="黑体"/>
          <w:b/>
          <w:color w:val="auto"/>
          <w:highlight w:val="none"/>
        </w:rPr>
        <w:t>2.2</w:t>
      </w:r>
      <w:r>
        <w:rPr>
          <w:rFonts w:hint="eastAsia" w:ascii="Times New Roman" w:hAnsi="Times New Roman"/>
          <w:color w:val="auto"/>
          <w:highlight w:val="none"/>
        </w:rPr>
        <w:t xml:space="preserve"> 进入工作井前，应开启井盖进行通风，排除井中废气，直至检测空气合格后，方可进入。</w:t>
      </w:r>
    </w:p>
    <w:p w14:paraId="473011FF">
      <w:pPr>
        <w:rPr>
          <w:rFonts w:ascii="Times New Roman" w:hAnsi="Times New Roman"/>
          <w:color w:val="auto"/>
          <w:highlight w:val="none"/>
        </w:rPr>
      </w:pPr>
      <w:r>
        <w:rPr>
          <w:rFonts w:ascii="黑体" w:hAnsi="黑体" w:cs="黑体"/>
          <w:b/>
          <w:color w:val="auto"/>
          <w:highlight w:val="none"/>
        </w:rPr>
        <w:t>7</w:t>
      </w:r>
      <w:r>
        <w:rPr>
          <w:rFonts w:hint="eastAsia" w:ascii="黑体" w:hAnsi="黑体" w:cs="黑体"/>
          <w:b/>
          <w:color w:val="auto"/>
          <w:highlight w:val="none"/>
        </w:rPr>
        <w:t>.</w:t>
      </w:r>
      <w:r>
        <w:rPr>
          <w:rFonts w:ascii="黑体" w:hAnsi="黑体" w:cs="黑体"/>
          <w:b/>
          <w:color w:val="auto"/>
          <w:highlight w:val="none"/>
        </w:rPr>
        <w:t>2.3</w:t>
      </w:r>
      <w:r>
        <w:rPr>
          <w:rFonts w:ascii="Times New Roman" w:hAnsi="Times New Roman"/>
          <w:color w:val="auto"/>
          <w:highlight w:val="none"/>
        </w:rPr>
        <w:t xml:space="preserve"> </w:t>
      </w:r>
      <w:r>
        <w:rPr>
          <w:rFonts w:hint="eastAsia" w:ascii="Times New Roman" w:hAnsi="Times New Roman"/>
          <w:color w:val="auto"/>
          <w:highlight w:val="none"/>
        </w:rPr>
        <w:t>小型综合管廊的通风口应加设防止小动物进入的金属网格，网孔净尺寸不应大于1</w:t>
      </w:r>
      <w:r>
        <w:rPr>
          <w:rFonts w:ascii="Times New Roman" w:hAnsi="Times New Roman"/>
          <w:color w:val="auto"/>
          <w:highlight w:val="none"/>
        </w:rPr>
        <w:t>0</w:t>
      </w:r>
      <w:r>
        <w:rPr>
          <w:rFonts w:hint="eastAsia" w:ascii="Times New Roman" w:hAnsi="Times New Roman"/>
          <w:color w:val="auto"/>
          <w:highlight w:val="none"/>
        </w:rPr>
        <w:t>mm×</w:t>
      </w:r>
      <w:r>
        <w:rPr>
          <w:rFonts w:ascii="Times New Roman" w:hAnsi="Times New Roman"/>
          <w:color w:val="auto"/>
          <w:highlight w:val="none"/>
        </w:rPr>
        <w:t>10</w:t>
      </w:r>
      <w:r>
        <w:rPr>
          <w:rFonts w:hint="eastAsia" w:ascii="Times New Roman" w:hAnsi="Times New Roman"/>
          <w:color w:val="auto"/>
          <w:highlight w:val="none"/>
        </w:rPr>
        <w:t>mm。</w:t>
      </w:r>
    </w:p>
    <w:p w14:paraId="1A2F4B31">
      <w:pPr>
        <w:pStyle w:val="34"/>
        <w:spacing w:before="156" w:beforeLines="50" w:after="156" w:afterLines="50" w:line="400" w:lineRule="exact"/>
        <w:outlineLvl w:val="2"/>
        <w:rPr>
          <w:rFonts w:ascii="黑体" w:hAnsi="黑体" w:cs="黑体"/>
          <w:color w:val="auto"/>
          <w:sz w:val="21"/>
          <w:szCs w:val="21"/>
          <w:highlight w:val="none"/>
        </w:rPr>
      </w:pPr>
      <w:bookmarkStart w:id="114" w:name="_Toc22149"/>
      <w:bookmarkStart w:id="115" w:name="_Toc4026"/>
      <w:bookmarkStart w:id="116" w:name="_Toc6896"/>
      <w:r>
        <w:rPr>
          <w:rFonts w:hint="eastAsia" w:ascii="黑体" w:hAnsi="黑体" w:cs="黑体"/>
          <w:color w:val="auto"/>
          <w:sz w:val="21"/>
          <w:szCs w:val="21"/>
          <w:highlight w:val="none"/>
        </w:rPr>
        <w:t>7.</w:t>
      </w:r>
      <w:r>
        <w:rPr>
          <w:rFonts w:ascii="黑体" w:hAnsi="黑体" w:cs="黑体"/>
          <w:color w:val="auto"/>
          <w:sz w:val="21"/>
          <w:szCs w:val="21"/>
          <w:highlight w:val="none"/>
        </w:rPr>
        <w:t>3</w:t>
      </w:r>
      <w:r>
        <w:rPr>
          <w:rFonts w:hint="eastAsia" w:ascii="黑体" w:hAnsi="黑体" w:cs="黑体"/>
          <w:color w:val="auto"/>
          <w:sz w:val="21"/>
          <w:szCs w:val="21"/>
          <w:highlight w:val="none"/>
        </w:rPr>
        <w:t xml:space="preserve"> 供电及照明</w:t>
      </w:r>
      <w:bookmarkEnd w:id="114"/>
      <w:bookmarkEnd w:id="115"/>
      <w:bookmarkEnd w:id="116"/>
    </w:p>
    <w:p w14:paraId="23644B54">
      <w:pPr>
        <w:rPr>
          <w:rFonts w:ascii="Times New Roman" w:hAnsi="Times New Roman"/>
          <w:color w:val="auto"/>
          <w:highlight w:val="none"/>
        </w:rPr>
      </w:pPr>
      <w:r>
        <w:rPr>
          <w:rFonts w:ascii="黑体" w:hAnsi="黑体" w:eastAsia="黑体" w:cs="黑体"/>
          <w:b/>
          <w:bCs/>
          <w:color w:val="auto"/>
          <w:highlight w:val="none"/>
        </w:rPr>
        <w:t>7.3.</w:t>
      </w:r>
      <w:r>
        <w:rPr>
          <w:rFonts w:hint="eastAsia" w:ascii="黑体" w:hAnsi="黑体" w:eastAsia="黑体" w:cs="黑体"/>
          <w:b/>
          <w:bCs/>
          <w:color w:val="auto"/>
          <w:highlight w:val="none"/>
        </w:rPr>
        <w:t xml:space="preserve">1 </w:t>
      </w:r>
      <w:r>
        <w:rPr>
          <w:rFonts w:hint="eastAsia" w:ascii="Times New Roman" w:hAnsi="Times New Roman"/>
          <w:color w:val="auto"/>
          <w:highlight w:val="none"/>
        </w:rPr>
        <w:t>小型综合管廊用电设备可按三级负荷供电。</w:t>
      </w:r>
    </w:p>
    <w:p w14:paraId="59AA95A7">
      <w:pPr>
        <w:rPr>
          <w:rFonts w:ascii="Times New Roman" w:hAnsi="Times New Roman"/>
          <w:color w:val="auto"/>
          <w:highlight w:val="none"/>
        </w:rPr>
      </w:pPr>
      <w:r>
        <w:rPr>
          <w:rFonts w:ascii="黑体" w:hAnsi="黑体" w:eastAsia="黑体" w:cs="黑体"/>
          <w:b/>
          <w:bCs/>
          <w:color w:val="auto"/>
          <w:highlight w:val="none"/>
        </w:rPr>
        <w:t>7.3.</w:t>
      </w:r>
      <w:r>
        <w:rPr>
          <w:rFonts w:hint="eastAsia" w:ascii="黑体" w:hAnsi="黑体" w:eastAsia="黑体" w:cs="黑体"/>
          <w:b/>
          <w:bCs/>
          <w:color w:val="auto"/>
          <w:highlight w:val="none"/>
        </w:rPr>
        <w:t>2</w:t>
      </w:r>
      <w:r>
        <w:rPr>
          <w:rFonts w:ascii="黑体" w:hAnsi="黑体" w:eastAsia="黑体" w:cs="黑体"/>
          <w:b/>
          <w:bCs/>
          <w:color w:val="auto"/>
          <w:highlight w:val="none"/>
        </w:rPr>
        <w:t xml:space="preserve"> </w:t>
      </w:r>
      <w:r>
        <w:rPr>
          <w:rFonts w:hint="eastAsia" w:ascii="Times New Roman" w:hAnsi="Times New Roman"/>
          <w:color w:val="auto"/>
          <w:highlight w:val="none"/>
        </w:rPr>
        <w:t>小型综合管廊配电系统应符合下列规定：</w:t>
      </w:r>
    </w:p>
    <w:p w14:paraId="003C1418">
      <w:pPr>
        <w:ind w:firstLine="420" w:firstLineChars="200"/>
        <w:rPr>
          <w:rFonts w:ascii="Times New Roman" w:hAnsi="Times New Roman"/>
          <w:color w:val="auto"/>
          <w:highlight w:val="none"/>
        </w:rPr>
      </w:pPr>
      <w:r>
        <w:rPr>
          <w:rFonts w:ascii="Times New Roman" w:hAnsi="Times New Roman"/>
          <w:color w:val="auto"/>
          <w:highlight w:val="none"/>
        </w:rPr>
        <w:t xml:space="preserve">1 </w:t>
      </w:r>
      <w:r>
        <w:rPr>
          <w:rFonts w:hint="eastAsia" w:ascii="Times New Roman" w:hAnsi="Times New Roman"/>
          <w:color w:val="auto"/>
          <w:highlight w:val="none"/>
        </w:rPr>
        <w:t>配电系统宜采用交流2</w:t>
      </w:r>
      <w:r>
        <w:rPr>
          <w:rFonts w:ascii="Times New Roman" w:hAnsi="Times New Roman"/>
          <w:color w:val="auto"/>
          <w:highlight w:val="none"/>
        </w:rPr>
        <w:t>20/380V</w:t>
      </w:r>
      <w:r>
        <w:rPr>
          <w:rFonts w:hint="eastAsia" w:ascii="Times New Roman" w:hAnsi="Times New Roman"/>
          <w:color w:val="auto"/>
          <w:highlight w:val="none"/>
        </w:rPr>
        <w:t>系统，系统接地型式应为T</w:t>
      </w:r>
      <w:r>
        <w:rPr>
          <w:rFonts w:ascii="Times New Roman" w:hAnsi="Times New Roman"/>
          <w:color w:val="auto"/>
          <w:highlight w:val="none"/>
        </w:rPr>
        <w:t>N-S</w:t>
      </w:r>
      <w:r>
        <w:rPr>
          <w:rFonts w:hint="eastAsia" w:ascii="Times New Roman" w:hAnsi="Times New Roman"/>
          <w:color w:val="auto"/>
          <w:highlight w:val="none"/>
        </w:rPr>
        <w:t xml:space="preserve">制，并宜使三相负荷平衡； </w:t>
      </w:r>
    </w:p>
    <w:p w14:paraId="1BDB89D4">
      <w:pPr>
        <w:ind w:firstLine="420" w:firstLineChars="200"/>
        <w:rPr>
          <w:rFonts w:ascii="Times New Roman" w:hAnsi="Times New Roman"/>
          <w:color w:val="auto"/>
          <w:highlight w:val="none"/>
        </w:rPr>
      </w:pPr>
      <w:r>
        <w:rPr>
          <w:rFonts w:ascii="Times New Roman" w:hAnsi="Times New Roman"/>
          <w:color w:val="auto"/>
          <w:highlight w:val="none"/>
        </w:rPr>
        <w:t xml:space="preserve">2 </w:t>
      </w:r>
      <w:r>
        <w:rPr>
          <w:rFonts w:hint="eastAsia" w:ascii="Times New Roman" w:hAnsi="Times New Roman"/>
          <w:color w:val="auto"/>
          <w:highlight w:val="none"/>
        </w:rPr>
        <w:t>水泵等动力设备的电压偏差不宜超过供电标称电压的±5%，照明设备不宜超过＋5</w:t>
      </w:r>
      <w:r>
        <w:rPr>
          <w:rFonts w:ascii="Times New Roman" w:hAnsi="Times New Roman"/>
          <w:color w:val="auto"/>
          <w:highlight w:val="none"/>
        </w:rPr>
        <w:t>%</w:t>
      </w:r>
      <w:r>
        <w:rPr>
          <w:rFonts w:hint="eastAsia" w:ascii="Times New Roman" w:hAnsi="Times New Roman"/>
          <w:color w:val="auto"/>
          <w:highlight w:val="none"/>
        </w:rPr>
        <w:t>、</w:t>
      </w:r>
      <w:r>
        <w:rPr>
          <w:rFonts w:ascii="Times New Roman" w:hAnsi="Times New Roman"/>
          <w:color w:val="auto"/>
          <w:highlight w:val="none"/>
        </w:rPr>
        <w:t>-10%</w:t>
      </w:r>
      <w:r>
        <w:rPr>
          <w:rFonts w:hint="eastAsia" w:ascii="Times New Roman" w:hAnsi="Times New Roman"/>
          <w:color w:val="auto"/>
          <w:highlight w:val="none"/>
        </w:rPr>
        <w:t xml:space="preserve">，监控设备不宜超过±5%； </w:t>
      </w:r>
    </w:p>
    <w:p w14:paraId="50434AD4">
      <w:pPr>
        <w:ind w:firstLine="420" w:firstLineChars="200"/>
        <w:rPr>
          <w:rFonts w:ascii="Times New Roman" w:hAnsi="Times New Roman"/>
          <w:color w:val="auto"/>
          <w:highlight w:val="none"/>
        </w:rPr>
      </w:pPr>
      <w:r>
        <w:rPr>
          <w:rFonts w:ascii="Times New Roman" w:hAnsi="Times New Roman"/>
          <w:color w:val="auto"/>
          <w:highlight w:val="none"/>
        </w:rPr>
        <w:t xml:space="preserve">3 </w:t>
      </w:r>
      <w:r>
        <w:rPr>
          <w:rFonts w:hint="eastAsia" w:ascii="Times New Roman" w:hAnsi="Times New Roman"/>
          <w:color w:val="auto"/>
          <w:highlight w:val="none"/>
        </w:rPr>
        <w:t>在供电系统总进线处应设置计量测量装置。</w:t>
      </w:r>
    </w:p>
    <w:p w14:paraId="409A93D0">
      <w:pPr>
        <w:rPr>
          <w:rFonts w:ascii="Times New Roman" w:hAnsi="Times New Roman"/>
          <w:color w:val="auto"/>
          <w:highlight w:val="none"/>
        </w:rPr>
      </w:pPr>
      <w:r>
        <w:rPr>
          <w:rFonts w:ascii="黑体" w:hAnsi="黑体" w:eastAsia="黑体" w:cs="黑体"/>
          <w:b/>
          <w:bCs/>
          <w:color w:val="auto"/>
          <w:highlight w:val="none"/>
        </w:rPr>
        <w:t xml:space="preserve">7.3.3 </w:t>
      </w:r>
      <w:r>
        <w:rPr>
          <w:rFonts w:hint="eastAsia" w:ascii="Times New Roman" w:hAnsi="Times New Roman"/>
          <w:color w:val="auto"/>
          <w:highlight w:val="none"/>
        </w:rPr>
        <w:t>小型综合管廊宜在主要舱室内有人员操作处或人员出入口处设置正常照明设施，并宜满足下列规定：</w:t>
      </w:r>
    </w:p>
    <w:p w14:paraId="05256284">
      <w:pPr>
        <w:ind w:firstLine="420" w:firstLineChars="200"/>
        <w:rPr>
          <w:rFonts w:ascii="Times New Roman" w:hAnsi="Times New Roman"/>
          <w:color w:val="auto"/>
          <w:highlight w:val="none"/>
        </w:rPr>
      </w:pPr>
      <w:r>
        <w:rPr>
          <w:rFonts w:ascii="Times New Roman" w:hAnsi="Times New Roman"/>
          <w:color w:val="auto"/>
          <w:highlight w:val="none"/>
        </w:rPr>
        <w:t>1</w:t>
      </w:r>
      <w:r>
        <w:rPr>
          <w:rFonts w:hint="eastAsia" w:ascii="Times New Roman" w:hAnsi="Times New Roman"/>
          <w:color w:val="auto"/>
          <w:highlight w:val="none"/>
        </w:rPr>
        <w:t xml:space="preserve"> 主要舱室内有人员操作处或人员出入口处的正常照明平均照度不宜小于1</w:t>
      </w:r>
      <w:r>
        <w:rPr>
          <w:rFonts w:ascii="Times New Roman" w:hAnsi="Times New Roman"/>
          <w:color w:val="auto"/>
          <w:highlight w:val="none"/>
        </w:rPr>
        <w:t>00</w:t>
      </w:r>
      <w:r>
        <w:rPr>
          <w:rFonts w:hint="eastAsia" w:ascii="Times New Roman" w:hAnsi="Times New Roman"/>
          <w:i/>
          <w:color w:val="auto"/>
          <w:highlight w:val="none"/>
        </w:rPr>
        <w:t>l</w:t>
      </w:r>
      <w:r>
        <w:rPr>
          <w:rFonts w:hint="eastAsia" w:ascii="Times New Roman" w:hAnsi="Times New Roman"/>
          <w:i/>
          <w:color w:val="auto"/>
          <w:highlight w:val="none"/>
          <w:vertAlign w:val="subscript"/>
        </w:rPr>
        <w:t>x</w:t>
      </w:r>
      <w:r>
        <w:rPr>
          <w:rFonts w:hint="eastAsia" w:ascii="Times New Roman" w:hAnsi="Times New Roman"/>
          <w:color w:val="auto"/>
          <w:highlight w:val="none"/>
        </w:rPr>
        <w:t xml:space="preserve">； </w:t>
      </w:r>
    </w:p>
    <w:p w14:paraId="06410E2A">
      <w:pPr>
        <w:ind w:firstLine="420" w:firstLineChars="200"/>
        <w:rPr>
          <w:rFonts w:ascii="Times New Roman" w:hAnsi="Times New Roman"/>
          <w:color w:val="auto"/>
          <w:highlight w:val="none"/>
        </w:rPr>
      </w:pPr>
      <w:r>
        <w:rPr>
          <w:rFonts w:ascii="Times New Roman" w:hAnsi="Times New Roman"/>
          <w:color w:val="auto"/>
          <w:highlight w:val="none"/>
        </w:rPr>
        <w:t>2</w:t>
      </w:r>
      <w:r>
        <w:rPr>
          <w:rFonts w:hint="eastAsia" w:ascii="Times New Roman" w:hAnsi="Times New Roman"/>
          <w:color w:val="auto"/>
          <w:highlight w:val="none"/>
        </w:rPr>
        <w:t xml:space="preserve"> 小型综合管廊的照明灯具应采用2</w:t>
      </w:r>
      <w:r>
        <w:rPr>
          <w:rFonts w:ascii="Times New Roman" w:hAnsi="Times New Roman"/>
          <w:color w:val="auto"/>
          <w:highlight w:val="none"/>
        </w:rPr>
        <w:t>4V</w:t>
      </w:r>
      <w:r>
        <w:rPr>
          <w:rFonts w:hint="eastAsia" w:ascii="Times New Roman" w:hAnsi="Times New Roman"/>
          <w:color w:val="auto"/>
          <w:highlight w:val="none"/>
        </w:rPr>
        <w:t xml:space="preserve">及以下安全电压供电； </w:t>
      </w:r>
    </w:p>
    <w:p w14:paraId="08C91B2E">
      <w:pPr>
        <w:ind w:firstLine="420" w:firstLineChars="200"/>
        <w:rPr>
          <w:rFonts w:ascii="Times New Roman" w:hAnsi="Times New Roman"/>
          <w:color w:val="auto"/>
          <w:highlight w:val="none"/>
        </w:rPr>
      </w:pPr>
      <w:r>
        <w:rPr>
          <w:rFonts w:ascii="Times New Roman" w:hAnsi="Times New Roman"/>
          <w:color w:val="auto"/>
          <w:highlight w:val="none"/>
        </w:rPr>
        <w:t>3</w:t>
      </w:r>
      <w:r>
        <w:rPr>
          <w:rFonts w:hint="eastAsia" w:ascii="Times New Roman" w:hAnsi="Times New Roman"/>
          <w:color w:val="auto"/>
          <w:highlight w:val="none"/>
        </w:rPr>
        <w:t xml:space="preserve"> 灯具应采用防水防潮措施，防护等级不宜低于I</w:t>
      </w:r>
      <w:r>
        <w:rPr>
          <w:rFonts w:ascii="Times New Roman" w:hAnsi="Times New Roman"/>
          <w:color w:val="auto"/>
          <w:highlight w:val="none"/>
        </w:rPr>
        <w:t>P54</w:t>
      </w:r>
      <w:r>
        <w:rPr>
          <w:rFonts w:hint="eastAsia" w:ascii="Times New Roman" w:hAnsi="Times New Roman"/>
          <w:color w:val="auto"/>
          <w:highlight w:val="none"/>
        </w:rPr>
        <w:t xml:space="preserve">，并应具有防外力冲撞的防护措施； </w:t>
      </w:r>
    </w:p>
    <w:p w14:paraId="262476D9">
      <w:pPr>
        <w:ind w:firstLine="420" w:firstLineChars="200"/>
        <w:rPr>
          <w:rFonts w:ascii="Times New Roman" w:hAnsi="Times New Roman"/>
          <w:color w:val="auto"/>
          <w:highlight w:val="none"/>
        </w:rPr>
      </w:pPr>
      <w:r>
        <w:rPr>
          <w:rFonts w:ascii="Times New Roman" w:hAnsi="Times New Roman"/>
          <w:color w:val="auto"/>
          <w:highlight w:val="none"/>
        </w:rPr>
        <w:t>4</w:t>
      </w:r>
      <w:r>
        <w:rPr>
          <w:rFonts w:hint="eastAsia" w:ascii="Times New Roman" w:hAnsi="Times New Roman"/>
          <w:color w:val="auto"/>
          <w:highlight w:val="none"/>
        </w:rPr>
        <w:t xml:space="preserve"> 照明回路导线应采用硬铜线导线，电线截面积不应小于2.</w:t>
      </w:r>
      <w:r>
        <w:rPr>
          <w:rFonts w:ascii="Times New Roman" w:hAnsi="Times New Roman"/>
          <w:color w:val="auto"/>
          <w:highlight w:val="none"/>
        </w:rPr>
        <w:t>5</w:t>
      </w:r>
      <w:r>
        <w:rPr>
          <w:rFonts w:hint="eastAsia" w:ascii="Times New Roman" w:hAnsi="Times New Roman"/>
          <w:color w:val="auto"/>
          <w:highlight w:val="none"/>
        </w:rPr>
        <w:t>mm</w:t>
      </w:r>
      <w:r>
        <w:rPr>
          <w:rFonts w:ascii="Times New Roman" w:hAnsi="Times New Roman"/>
          <w:color w:val="auto"/>
          <w:highlight w:val="none"/>
          <w:vertAlign w:val="superscript"/>
        </w:rPr>
        <w:t>2</w:t>
      </w:r>
      <w:r>
        <w:rPr>
          <w:rFonts w:hint="eastAsia" w:ascii="Times New Roman" w:hAnsi="Times New Roman"/>
          <w:color w:val="auto"/>
          <w:highlight w:val="none"/>
        </w:rPr>
        <w:t>。</w:t>
      </w:r>
    </w:p>
    <w:p w14:paraId="5FF03314">
      <w:pPr>
        <w:rPr>
          <w:rFonts w:ascii="Times New Roman" w:hAnsi="Times New Roman"/>
          <w:color w:val="auto"/>
          <w:highlight w:val="none"/>
        </w:rPr>
      </w:pPr>
      <w:r>
        <w:rPr>
          <w:rFonts w:ascii="黑体" w:hAnsi="黑体" w:eastAsia="黑体" w:cs="黑体"/>
          <w:b/>
          <w:bCs/>
          <w:color w:val="auto"/>
          <w:highlight w:val="none"/>
        </w:rPr>
        <w:t xml:space="preserve">7.3.4 </w:t>
      </w:r>
      <w:r>
        <w:rPr>
          <w:rFonts w:hint="eastAsia" w:ascii="Times New Roman" w:hAnsi="Times New Roman"/>
          <w:color w:val="auto"/>
          <w:highlight w:val="none"/>
        </w:rPr>
        <w:t>小型综合管廊的电气设备应符合下列规定：</w:t>
      </w:r>
    </w:p>
    <w:p w14:paraId="1CE474B6">
      <w:pPr>
        <w:ind w:firstLine="420" w:firstLineChars="200"/>
        <w:rPr>
          <w:rFonts w:ascii="Times New Roman" w:hAnsi="Times New Roman"/>
          <w:color w:val="auto"/>
          <w:highlight w:val="none"/>
        </w:rPr>
      </w:pPr>
      <w:r>
        <w:rPr>
          <w:rFonts w:ascii="Times New Roman" w:hAnsi="Times New Roman"/>
          <w:color w:val="auto"/>
          <w:highlight w:val="none"/>
        </w:rPr>
        <w:t xml:space="preserve">1 </w:t>
      </w:r>
      <w:r>
        <w:rPr>
          <w:rFonts w:hint="eastAsia" w:ascii="Times New Roman" w:hAnsi="Times New Roman"/>
          <w:color w:val="auto"/>
          <w:highlight w:val="none"/>
        </w:rPr>
        <w:t>电气设备防护等级应适应所安装环境的使用要求，防护等级不应低于</w:t>
      </w:r>
      <w:r>
        <w:rPr>
          <w:rFonts w:ascii="Times New Roman" w:hAnsi="Times New Roman"/>
          <w:color w:val="auto"/>
          <w:highlight w:val="none"/>
        </w:rPr>
        <w:t>IP5</w:t>
      </w:r>
      <w:r>
        <w:rPr>
          <w:rFonts w:hint="eastAsia" w:ascii="Times New Roman" w:hAnsi="Times New Roman"/>
          <w:color w:val="auto"/>
          <w:highlight w:val="none"/>
        </w:rPr>
        <w:t xml:space="preserve">5； </w:t>
      </w:r>
    </w:p>
    <w:p w14:paraId="0A9F68A8">
      <w:pPr>
        <w:ind w:firstLine="420" w:firstLineChars="200"/>
        <w:rPr>
          <w:rFonts w:hint="eastAsia" w:ascii="Times New Roman" w:hAnsi="Times New Roman"/>
          <w:color w:val="auto"/>
          <w:highlight w:val="none"/>
        </w:rPr>
      </w:pPr>
      <w:r>
        <w:rPr>
          <w:rFonts w:ascii="Times New Roman" w:hAnsi="Times New Roman"/>
          <w:color w:val="auto"/>
          <w:highlight w:val="none"/>
        </w:rPr>
        <w:t xml:space="preserve">2 </w:t>
      </w:r>
      <w:r>
        <w:rPr>
          <w:rFonts w:hint="eastAsia" w:ascii="Times New Roman" w:hAnsi="Times New Roman"/>
          <w:color w:val="auto"/>
          <w:highlight w:val="none"/>
        </w:rPr>
        <w:t>电气设备应安装在便于维护和操作地方，不应安装在低洼或可能受积水浸入地方。</w:t>
      </w:r>
    </w:p>
    <w:p w14:paraId="1804BAFE">
      <w:pPr>
        <w:ind w:firstLine="420" w:firstLineChars="200"/>
        <w:rPr>
          <w:rFonts w:ascii="Times New Roman" w:hAnsi="Times New Roman"/>
          <w:color w:val="auto"/>
          <w:highlight w:val="none"/>
        </w:rPr>
      </w:pPr>
      <w:r>
        <w:rPr>
          <w:rFonts w:hint="eastAsia" w:ascii="Times New Roman" w:hAnsi="Times New Roman"/>
          <w:color w:val="auto"/>
          <w:highlight w:val="none"/>
        </w:rPr>
        <w:t>【</w:t>
      </w:r>
      <w:r>
        <w:rPr>
          <w:rFonts w:hint="eastAsia" w:ascii="Times New Roman" w:hAnsi="Times New Roman"/>
          <w:b/>
          <w:bCs/>
          <w:color w:val="auto"/>
          <w:highlight w:val="none"/>
        </w:rPr>
        <w:t>条文说明：</w:t>
      </w:r>
      <w:r>
        <w:rPr>
          <w:rFonts w:hint="eastAsia" w:ascii="Times New Roman" w:hAnsi="Times New Roman"/>
          <w:color w:val="auto"/>
          <w:highlight w:val="none"/>
        </w:rPr>
        <w:t>根据厦门地区地理位置及综合管廊环境条件，廊内比较潮湿，故提高一级电气设备外壳防水等级】</w:t>
      </w:r>
    </w:p>
    <w:p w14:paraId="56F35BE3">
      <w:pPr>
        <w:rPr>
          <w:rFonts w:ascii="Times New Roman" w:hAnsi="Times New Roman"/>
          <w:color w:val="auto"/>
          <w:highlight w:val="none"/>
        </w:rPr>
      </w:pPr>
      <w:r>
        <w:rPr>
          <w:rFonts w:ascii="黑体" w:hAnsi="黑体" w:eastAsia="黑体" w:cs="黑体"/>
          <w:b/>
          <w:bCs/>
          <w:color w:val="auto"/>
          <w:highlight w:val="none"/>
        </w:rPr>
        <w:t xml:space="preserve">7.3.5 </w:t>
      </w:r>
      <w:r>
        <w:rPr>
          <w:rFonts w:hint="eastAsia" w:ascii="Times New Roman" w:hAnsi="Times New Roman"/>
          <w:color w:val="auto"/>
          <w:highlight w:val="none"/>
        </w:rPr>
        <w:t>小型综合管廊应设置有效的接地系统，其接地系统应符合下列规定：</w:t>
      </w:r>
    </w:p>
    <w:p w14:paraId="5118FC37">
      <w:pPr>
        <w:ind w:firstLine="420" w:firstLineChars="200"/>
        <w:rPr>
          <w:rFonts w:ascii="Times New Roman" w:hAnsi="Times New Roman"/>
          <w:color w:val="auto"/>
          <w:highlight w:val="none"/>
        </w:rPr>
      </w:pPr>
      <w:r>
        <w:rPr>
          <w:rFonts w:ascii="Times New Roman" w:hAnsi="Times New Roman"/>
          <w:color w:val="auto"/>
          <w:highlight w:val="none"/>
        </w:rPr>
        <w:t>1</w:t>
      </w:r>
      <w:r>
        <w:rPr>
          <w:rFonts w:hint="eastAsia" w:ascii="Times New Roman" w:hAnsi="Times New Roman"/>
          <w:color w:val="auto"/>
          <w:highlight w:val="none"/>
        </w:rPr>
        <w:t xml:space="preserve"> 小型综合管廊应设置有效的接地系统，包括接地干线、接地线、接地网和接地极，并满足《电力工程电缆设计标准》GB 50217和《交流电气装置的接地设计规范》GB 50065规定；  </w:t>
      </w:r>
    </w:p>
    <w:p w14:paraId="4690A146">
      <w:pPr>
        <w:ind w:firstLine="420" w:firstLineChars="200"/>
        <w:rPr>
          <w:rFonts w:ascii="Times New Roman" w:hAnsi="Times New Roman"/>
          <w:color w:val="auto"/>
          <w:highlight w:val="none"/>
        </w:rPr>
      </w:pPr>
      <w:r>
        <w:rPr>
          <w:rFonts w:ascii="Times New Roman" w:hAnsi="Times New Roman"/>
          <w:color w:val="auto"/>
          <w:highlight w:val="none"/>
        </w:rPr>
        <w:t>2</w:t>
      </w:r>
      <w:r>
        <w:rPr>
          <w:rFonts w:hint="eastAsia" w:ascii="Times New Roman" w:hAnsi="Times New Roman"/>
          <w:color w:val="auto"/>
          <w:highlight w:val="none"/>
        </w:rPr>
        <w:t xml:space="preserve"> 小型综合管廊应共用综合接地网，其接地电阻不应大于</w:t>
      </w:r>
      <w:r>
        <w:rPr>
          <w:rFonts w:ascii="Times New Roman" w:hAnsi="Times New Roman"/>
          <w:color w:val="auto"/>
          <w:highlight w:val="none"/>
        </w:rPr>
        <w:t>1</w:t>
      </w:r>
      <w:r>
        <w:rPr>
          <w:rFonts w:hint="eastAsia" w:ascii="Times New Roman" w:hAnsi="Times New Roman"/>
          <w:color w:val="auto"/>
          <w:highlight w:val="none"/>
        </w:rPr>
        <w:t xml:space="preserve">Ω； </w:t>
      </w:r>
    </w:p>
    <w:p w14:paraId="3587C55C">
      <w:pPr>
        <w:ind w:firstLine="420" w:firstLineChars="200"/>
        <w:rPr>
          <w:rFonts w:ascii="Times New Roman" w:hAnsi="Times New Roman"/>
          <w:color w:val="auto"/>
          <w:highlight w:val="none"/>
        </w:rPr>
      </w:pPr>
      <w:r>
        <w:rPr>
          <w:rFonts w:ascii="Times New Roman" w:hAnsi="Times New Roman"/>
          <w:color w:val="auto"/>
          <w:highlight w:val="none"/>
        </w:rPr>
        <w:t>3</w:t>
      </w:r>
      <w:r>
        <w:rPr>
          <w:rFonts w:hint="eastAsia" w:ascii="Times New Roman" w:hAnsi="Times New Roman"/>
          <w:color w:val="auto"/>
          <w:highlight w:val="none"/>
        </w:rPr>
        <w:t xml:space="preserve"> 敷设于土壤中的人工接地体应采用铜质或镀铜或不锈钢导体； </w:t>
      </w:r>
    </w:p>
    <w:p w14:paraId="34AB267A">
      <w:pPr>
        <w:ind w:firstLine="420" w:firstLineChars="200"/>
        <w:rPr>
          <w:rFonts w:ascii="Times New Roman" w:hAnsi="Times New Roman"/>
          <w:color w:val="auto"/>
          <w:highlight w:val="none"/>
        </w:rPr>
      </w:pPr>
      <w:r>
        <w:rPr>
          <w:rFonts w:ascii="Times New Roman" w:hAnsi="Times New Roman"/>
          <w:color w:val="auto"/>
          <w:highlight w:val="none"/>
        </w:rPr>
        <w:t>4</w:t>
      </w:r>
      <w:r>
        <w:rPr>
          <w:rFonts w:hint="eastAsia" w:ascii="Times New Roman" w:hAnsi="Times New Roman"/>
          <w:color w:val="auto"/>
          <w:highlight w:val="none"/>
        </w:rPr>
        <w:t xml:space="preserve"> 小型综合管廊内的各外露可导电部分应做等电位连接，可靠保护接地。 </w:t>
      </w:r>
    </w:p>
    <w:p w14:paraId="24EFD7CF">
      <w:pPr>
        <w:rPr>
          <w:rFonts w:hint="eastAsia" w:ascii="Times New Roman" w:hAnsi="Times New Roman"/>
          <w:color w:val="auto"/>
          <w:highlight w:val="none"/>
        </w:rPr>
      </w:pPr>
      <w:r>
        <w:rPr>
          <w:rFonts w:ascii="黑体" w:hAnsi="黑体" w:eastAsia="黑体" w:cs="黑体"/>
          <w:b/>
          <w:bCs/>
          <w:color w:val="auto"/>
          <w:highlight w:val="none"/>
        </w:rPr>
        <w:t>7.3.6</w:t>
      </w:r>
      <w:r>
        <w:rPr>
          <w:rFonts w:hint="eastAsia" w:ascii="Times New Roman" w:hAnsi="Times New Roman"/>
          <w:color w:val="auto"/>
          <w:highlight w:val="none"/>
        </w:rPr>
        <w:t xml:space="preserve"> 小型综合管廊内应设置等电位联结系统，配电系统应设置防雷电感应过电压保护装置。</w:t>
      </w:r>
    </w:p>
    <w:p w14:paraId="30D367C3">
      <w:pPr>
        <w:rPr>
          <w:rFonts w:hint="eastAsia" w:ascii="Times New Roman" w:hAnsi="Times New Roman"/>
          <w:color w:val="auto"/>
          <w:highlight w:val="none"/>
          <w:lang w:eastAsia="zh-CN"/>
        </w:rPr>
      </w:pPr>
      <w:r>
        <w:rPr>
          <w:rFonts w:hint="default" w:ascii="黑体" w:hAnsi="黑体" w:eastAsia="黑体" w:cs="黑体"/>
          <w:b/>
          <w:bCs/>
          <w:color w:val="auto"/>
          <w:highlight w:val="none"/>
        </w:rPr>
        <w:t>7</w:t>
      </w:r>
      <w:r>
        <w:rPr>
          <w:rFonts w:ascii="黑体" w:hAnsi="黑体" w:eastAsia="黑体" w:cs="黑体"/>
          <w:b/>
          <w:bCs/>
          <w:color w:val="auto"/>
          <w:highlight w:val="none"/>
        </w:rPr>
        <w:t>.3.7</w:t>
      </w:r>
      <w:r>
        <w:rPr>
          <w:rFonts w:ascii="Times New Roman" w:hAnsi="Times New Roman"/>
          <w:color w:val="auto"/>
          <w:highlight w:val="none"/>
        </w:rPr>
        <w:t xml:space="preserve"> </w:t>
      </w:r>
      <w:r>
        <w:rPr>
          <w:rFonts w:hint="eastAsia" w:ascii="Times New Roman" w:hAnsi="Times New Roman"/>
          <w:color w:val="auto"/>
          <w:highlight w:val="none"/>
        </w:rPr>
        <w:t>小型综合管廊宜采用小型化、集成化设备柜</w:t>
      </w:r>
      <w:r>
        <w:rPr>
          <w:rFonts w:hint="eastAsia" w:ascii="Times New Roman" w:hAnsi="Times New Roman"/>
          <w:color w:val="auto"/>
          <w:highlight w:val="none"/>
          <w:lang w:eastAsia="zh-CN"/>
        </w:rPr>
        <w:t>。</w:t>
      </w:r>
    </w:p>
    <w:p w14:paraId="27C112EF">
      <w:pPr>
        <w:rPr>
          <w:rFonts w:hint="eastAsia" w:ascii="Times New Roman" w:hAnsi="Times New Roman"/>
          <w:color w:val="auto"/>
          <w:highlight w:val="none"/>
          <w:lang w:eastAsia="zh-CN"/>
        </w:rPr>
      </w:pPr>
      <w:r>
        <w:rPr>
          <w:rFonts w:hint="eastAsia" w:ascii="Times New Roman" w:hAnsi="Times New Roman"/>
          <w:color w:val="auto"/>
          <w:highlight w:val="none"/>
          <w:lang w:eastAsia="zh-CN"/>
        </w:rPr>
        <w:t>【</w:t>
      </w:r>
      <w:r>
        <w:rPr>
          <w:rFonts w:hint="eastAsia" w:ascii="Times New Roman" w:hAnsi="Times New Roman"/>
          <w:b/>
          <w:bCs/>
          <w:color w:val="auto"/>
          <w:highlight w:val="none"/>
          <w:lang w:val="en-US" w:eastAsia="zh-CN"/>
        </w:rPr>
        <w:t>条文说明：</w:t>
      </w:r>
      <w:r>
        <w:rPr>
          <w:rFonts w:hint="eastAsia" w:ascii="Times New Roman" w:hAnsi="Times New Roman"/>
          <w:color w:val="auto"/>
          <w:highlight w:val="none"/>
          <w:lang w:val="en-US" w:eastAsia="zh-CN"/>
        </w:rPr>
        <w:t>建议结合供电、控制需求，采用一体化设备柜</w:t>
      </w:r>
      <w:r>
        <w:rPr>
          <w:rFonts w:hint="eastAsia" w:ascii="Times New Roman" w:hAnsi="Times New Roman"/>
          <w:color w:val="auto"/>
          <w:highlight w:val="none"/>
          <w:lang w:eastAsia="zh-CN"/>
        </w:rPr>
        <w:t>】</w:t>
      </w:r>
    </w:p>
    <w:p w14:paraId="2036F099">
      <w:pPr>
        <w:pStyle w:val="34"/>
        <w:spacing w:before="156" w:beforeLines="50" w:after="156" w:afterLines="50" w:line="400" w:lineRule="exact"/>
        <w:outlineLvl w:val="2"/>
        <w:rPr>
          <w:rFonts w:hint="eastAsia" w:ascii="黑体" w:hAnsi="黑体" w:eastAsia="黑体" w:cs="黑体"/>
          <w:color w:val="auto"/>
          <w:sz w:val="21"/>
          <w:szCs w:val="21"/>
          <w:highlight w:val="none"/>
          <w:lang w:eastAsia="zh-CN"/>
        </w:rPr>
      </w:pPr>
      <w:bookmarkStart w:id="117" w:name="_Toc4577"/>
      <w:bookmarkStart w:id="118" w:name="_Toc14090"/>
      <w:bookmarkStart w:id="119" w:name="_Toc15729"/>
      <w:r>
        <w:rPr>
          <w:rFonts w:hint="eastAsia" w:ascii="黑体" w:hAnsi="黑体" w:cs="黑体"/>
          <w:color w:val="auto"/>
          <w:sz w:val="21"/>
          <w:szCs w:val="21"/>
          <w:highlight w:val="none"/>
        </w:rPr>
        <w:t>7.</w:t>
      </w:r>
      <w:r>
        <w:rPr>
          <w:rFonts w:ascii="黑体" w:hAnsi="黑体" w:cs="黑体"/>
          <w:color w:val="auto"/>
          <w:sz w:val="21"/>
          <w:szCs w:val="21"/>
          <w:highlight w:val="none"/>
        </w:rPr>
        <w:t>4</w:t>
      </w:r>
      <w:r>
        <w:rPr>
          <w:rFonts w:hint="eastAsia" w:ascii="黑体" w:hAnsi="黑体" w:cs="黑体"/>
          <w:color w:val="auto"/>
          <w:sz w:val="21"/>
          <w:szCs w:val="21"/>
          <w:highlight w:val="none"/>
        </w:rPr>
        <w:t xml:space="preserve"> 监</w:t>
      </w:r>
      <w:r>
        <w:rPr>
          <w:rFonts w:hint="eastAsia" w:ascii="黑体" w:hAnsi="黑体" w:cs="黑体"/>
          <w:color w:val="auto"/>
          <w:sz w:val="21"/>
          <w:szCs w:val="21"/>
          <w:highlight w:val="none"/>
          <w:lang w:val="en-US" w:eastAsia="zh-CN"/>
        </w:rPr>
        <w:t>控</w:t>
      </w:r>
      <w:r>
        <w:rPr>
          <w:rFonts w:hint="eastAsia" w:ascii="黑体" w:hAnsi="黑体" w:cs="黑体"/>
          <w:color w:val="auto"/>
          <w:sz w:val="21"/>
          <w:szCs w:val="21"/>
          <w:highlight w:val="none"/>
        </w:rPr>
        <w:t>与报警</w:t>
      </w:r>
      <w:bookmarkEnd w:id="117"/>
      <w:bookmarkEnd w:id="118"/>
      <w:bookmarkEnd w:id="119"/>
      <w:r>
        <w:rPr>
          <w:rFonts w:hint="eastAsia" w:ascii="黑体" w:hAnsi="黑体" w:cs="黑体"/>
          <w:color w:val="auto"/>
          <w:sz w:val="21"/>
          <w:szCs w:val="21"/>
          <w:highlight w:val="none"/>
        </w:rPr>
        <w:t xml:space="preserve"> </w:t>
      </w:r>
    </w:p>
    <w:p w14:paraId="76B8F399">
      <w:pPr>
        <w:rPr>
          <w:rFonts w:hint="eastAsia" w:ascii="Times New Roman" w:hAnsi="Times New Roman"/>
          <w:color w:val="auto"/>
          <w:highlight w:val="none"/>
        </w:rPr>
      </w:pPr>
      <w:r>
        <w:rPr>
          <w:rFonts w:ascii="黑体" w:hAnsi="黑体" w:eastAsia="黑体" w:cs="黑体"/>
          <w:b/>
          <w:bCs/>
          <w:color w:val="auto"/>
          <w:highlight w:val="none"/>
        </w:rPr>
        <w:t>7.4.</w:t>
      </w:r>
      <w:r>
        <w:rPr>
          <w:rFonts w:hint="eastAsia" w:ascii="黑体" w:hAnsi="黑体" w:eastAsia="黑体" w:cs="黑体"/>
          <w:b/>
          <w:bCs/>
          <w:color w:val="auto"/>
          <w:highlight w:val="none"/>
        </w:rPr>
        <w:t>1</w:t>
      </w:r>
      <w:r>
        <w:rPr>
          <w:rFonts w:hint="eastAsia" w:ascii="Times New Roman" w:hAnsi="Times New Roman"/>
          <w:color w:val="auto"/>
          <w:highlight w:val="none"/>
        </w:rPr>
        <w:t xml:space="preserve"> 小型综合管廊的附属机电设备的监控与报警信号应上传至综合管廊监控中心。</w:t>
      </w:r>
    </w:p>
    <w:p w14:paraId="7AF2BC28">
      <w:pPr>
        <w:rPr>
          <w:rFonts w:hint="eastAsia" w:ascii="Times New Roman" w:hAnsi="Times New Roman"/>
          <w:color w:val="auto"/>
          <w:highlight w:val="none"/>
        </w:rPr>
      </w:pPr>
      <w:r>
        <w:rPr>
          <w:rFonts w:ascii="黑体" w:hAnsi="黑体" w:eastAsia="黑体" w:cs="黑体"/>
          <w:b/>
          <w:bCs/>
          <w:color w:val="auto"/>
          <w:highlight w:val="none"/>
        </w:rPr>
        <w:t>7.4.</w:t>
      </w:r>
      <w:r>
        <w:rPr>
          <w:rFonts w:hint="eastAsia" w:ascii="黑体" w:hAnsi="黑体" w:eastAsia="黑体" w:cs="黑体"/>
          <w:b/>
          <w:bCs/>
          <w:color w:val="auto"/>
          <w:highlight w:val="none"/>
          <w:lang w:val="en-US" w:eastAsia="zh-CN"/>
        </w:rPr>
        <w:t>2</w:t>
      </w:r>
      <w:r>
        <w:rPr>
          <w:rFonts w:hint="eastAsia" w:ascii="Times New Roman" w:hAnsi="Times New Roman"/>
          <w:color w:val="auto"/>
          <w:highlight w:val="none"/>
        </w:rPr>
        <w:t xml:space="preserve"> 小型综合管廊</w:t>
      </w:r>
      <w:r>
        <w:rPr>
          <w:rFonts w:hint="eastAsia" w:ascii="Times New Roman" w:hAnsi="Times New Roman"/>
          <w:color w:val="auto"/>
          <w:highlight w:val="none"/>
          <w:lang w:val="en-US" w:eastAsia="zh-CN"/>
        </w:rPr>
        <w:t>的电气设备、排水泵等宜进行状态监测和控制；设备控制方式宜采用就地手动、就地自动和远程控制</w:t>
      </w:r>
      <w:r>
        <w:rPr>
          <w:rFonts w:hint="eastAsia" w:ascii="Times New Roman" w:hAnsi="Times New Roman"/>
          <w:color w:val="auto"/>
          <w:highlight w:val="none"/>
        </w:rPr>
        <w:t>。</w:t>
      </w:r>
    </w:p>
    <w:p w14:paraId="57D047C6">
      <w:pPr>
        <w:rPr>
          <w:rFonts w:ascii="Times New Roman" w:hAnsi="Times New Roman"/>
          <w:color w:val="auto"/>
          <w:highlight w:val="none"/>
        </w:rPr>
      </w:pPr>
      <w:r>
        <w:rPr>
          <w:rFonts w:ascii="黑体" w:hAnsi="黑体" w:eastAsia="黑体" w:cs="黑体"/>
          <w:b/>
          <w:bCs/>
          <w:color w:val="auto"/>
          <w:highlight w:val="none"/>
        </w:rPr>
        <w:t>7.4.</w:t>
      </w:r>
      <w:r>
        <w:rPr>
          <w:rFonts w:hint="eastAsia" w:ascii="黑体" w:hAnsi="黑体" w:eastAsia="黑体" w:cs="黑体"/>
          <w:b/>
          <w:bCs/>
          <w:color w:val="auto"/>
          <w:highlight w:val="none"/>
          <w:lang w:val="en-US" w:eastAsia="zh-CN"/>
        </w:rPr>
        <w:t>2</w:t>
      </w:r>
      <w:r>
        <w:rPr>
          <w:rFonts w:hint="eastAsia" w:ascii="黑体" w:hAnsi="黑体" w:eastAsia="黑体" w:cs="黑体"/>
          <w:b/>
          <w:bCs/>
          <w:color w:val="auto"/>
          <w:highlight w:val="none"/>
        </w:rPr>
        <w:t xml:space="preserve"> </w:t>
      </w:r>
      <w:r>
        <w:rPr>
          <w:rFonts w:hint="eastAsia" w:ascii="Times New Roman" w:hAnsi="Times New Roman"/>
          <w:color w:val="auto"/>
          <w:highlight w:val="none"/>
        </w:rPr>
        <w:t>敷设</w:t>
      </w:r>
      <w:r>
        <w:rPr>
          <w:rFonts w:hint="eastAsia" w:ascii="Times New Roman" w:hAnsi="Times New Roman"/>
          <w:color w:val="auto"/>
          <w:highlight w:val="none"/>
          <w:lang w:val="en-US" w:eastAsia="zh-CN"/>
        </w:rPr>
        <w:t>高压</w:t>
      </w:r>
      <w:r>
        <w:rPr>
          <w:rFonts w:hint="eastAsia" w:ascii="Times New Roman" w:hAnsi="Times New Roman"/>
          <w:color w:val="auto"/>
          <w:highlight w:val="none"/>
        </w:rPr>
        <w:t>电力电缆的小型综合管廊宜设置火灾报警系统，并符合下列要求：</w:t>
      </w:r>
    </w:p>
    <w:p w14:paraId="48614734">
      <w:pPr>
        <w:ind w:firstLine="420" w:firstLineChars="200"/>
        <w:rPr>
          <w:rFonts w:ascii="Times New Roman" w:hAnsi="Times New Roman"/>
          <w:color w:val="auto"/>
          <w:highlight w:val="none"/>
        </w:rPr>
      </w:pPr>
      <w:r>
        <w:rPr>
          <w:rFonts w:ascii="Times New Roman" w:hAnsi="Times New Roman"/>
          <w:color w:val="auto"/>
          <w:highlight w:val="none"/>
        </w:rPr>
        <w:t>1</w:t>
      </w:r>
      <w:r>
        <w:rPr>
          <w:rFonts w:hint="eastAsia" w:ascii="Times New Roman" w:hAnsi="Times New Roman"/>
          <w:color w:val="auto"/>
          <w:highlight w:val="none"/>
        </w:rPr>
        <w:t xml:space="preserve"> 小型综合管廊舱室宜设置感烟火灾控制器； </w:t>
      </w:r>
    </w:p>
    <w:p w14:paraId="37B4E54B">
      <w:pPr>
        <w:ind w:firstLine="420" w:firstLineChars="200"/>
        <w:rPr>
          <w:rFonts w:ascii="Times New Roman" w:hAnsi="Times New Roman"/>
          <w:color w:val="auto"/>
          <w:highlight w:val="none"/>
        </w:rPr>
      </w:pPr>
      <w:r>
        <w:rPr>
          <w:rFonts w:ascii="Times New Roman" w:hAnsi="Times New Roman"/>
          <w:color w:val="auto"/>
          <w:highlight w:val="none"/>
        </w:rPr>
        <w:t>2</w:t>
      </w:r>
      <w:r>
        <w:rPr>
          <w:rFonts w:hint="eastAsia" w:ascii="Times New Roman" w:hAnsi="Times New Roman"/>
          <w:color w:val="auto"/>
          <w:highlight w:val="none"/>
        </w:rPr>
        <w:t xml:space="preserve"> 人员出入口、接头区等场所宜设置手动火灾报警按钮和火灾报警器；</w:t>
      </w:r>
    </w:p>
    <w:p w14:paraId="59467452">
      <w:pPr>
        <w:ind w:firstLine="420" w:firstLineChars="200"/>
        <w:rPr>
          <w:rFonts w:hint="default" w:ascii="Times New Roman" w:hAnsi="Times New Roman"/>
          <w:color w:val="auto"/>
          <w:highlight w:val="none"/>
        </w:rPr>
      </w:pPr>
      <w:r>
        <w:rPr>
          <w:rFonts w:hint="eastAsia" w:ascii="Times New Roman" w:hAnsi="Times New Roman"/>
          <w:color w:val="auto"/>
          <w:highlight w:val="none"/>
        </w:rPr>
        <w:t>3</w:t>
      </w:r>
      <w:r>
        <w:rPr>
          <w:rFonts w:ascii="Times New Roman" w:hAnsi="Times New Roman"/>
          <w:color w:val="auto"/>
          <w:highlight w:val="none"/>
        </w:rPr>
        <w:t xml:space="preserve"> </w:t>
      </w:r>
      <w:r>
        <w:rPr>
          <w:rFonts w:hint="eastAsia" w:ascii="Times New Roman" w:hAnsi="Times New Roman"/>
          <w:color w:val="auto"/>
          <w:highlight w:val="none"/>
        </w:rPr>
        <w:t>火灾报警系统的信号应上传综合管廊监控中心。</w:t>
      </w:r>
    </w:p>
    <w:p w14:paraId="029E07D4">
      <w:pPr>
        <w:rPr>
          <w:rFonts w:ascii="Times New Roman" w:hAnsi="Times New Roman"/>
          <w:color w:val="auto"/>
          <w:highlight w:val="none"/>
        </w:rPr>
      </w:pPr>
      <w:r>
        <w:rPr>
          <w:rFonts w:ascii="黑体" w:hAnsi="黑体" w:eastAsia="黑体" w:cs="黑体"/>
          <w:b/>
          <w:bCs/>
          <w:color w:val="auto"/>
          <w:highlight w:val="none"/>
        </w:rPr>
        <w:t>7.4.</w:t>
      </w:r>
      <w:r>
        <w:rPr>
          <w:rFonts w:hint="eastAsia" w:ascii="黑体" w:hAnsi="黑体" w:eastAsia="黑体" w:cs="黑体"/>
          <w:b/>
          <w:bCs/>
          <w:color w:val="auto"/>
          <w:highlight w:val="none"/>
          <w:lang w:val="en-US" w:eastAsia="zh-CN"/>
        </w:rPr>
        <w:t>3</w:t>
      </w:r>
      <w:r>
        <w:rPr>
          <w:rFonts w:ascii="黑体" w:hAnsi="黑体" w:eastAsia="黑体" w:cs="黑体"/>
          <w:b/>
          <w:bCs/>
          <w:color w:val="auto"/>
          <w:highlight w:val="none"/>
        </w:rPr>
        <w:t xml:space="preserve"> </w:t>
      </w:r>
      <w:r>
        <w:rPr>
          <w:rFonts w:hint="eastAsia" w:ascii="Times New Roman" w:hAnsi="Times New Roman"/>
          <w:color w:val="auto"/>
          <w:highlight w:val="none"/>
        </w:rPr>
        <w:t>小型综合管廊的监控与报警系统主干信息传输网络介质宜采用光缆。</w:t>
      </w:r>
    </w:p>
    <w:p w14:paraId="0BCCFF0F">
      <w:pPr>
        <w:rPr>
          <w:rFonts w:hint="eastAsia" w:ascii="Times New Roman" w:hAnsi="Times New Roman"/>
          <w:color w:val="auto"/>
          <w:highlight w:val="none"/>
        </w:rPr>
      </w:pPr>
      <w:r>
        <w:rPr>
          <w:rFonts w:hint="eastAsia" w:ascii="Times New Roman" w:hAnsi="Times New Roman"/>
          <w:color w:val="auto"/>
          <w:highlight w:val="none"/>
        </w:rPr>
        <w:t>【</w:t>
      </w:r>
      <w:r>
        <w:rPr>
          <w:rFonts w:hint="eastAsia" w:ascii="Times New Roman" w:hAnsi="Times New Roman"/>
          <w:b/>
          <w:bCs/>
          <w:color w:val="auto"/>
          <w:highlight w:val="none"/>
        </w:rPr>
        <w:t>条文说明：</w:t>
      </w:r>
      <w:r>
        <w:rPr>
          <w:rFonts w:hint="eastAsia" w:ascii="Times New Roman" w:hAnsi="Times New Roman"/>
          <w:b w:val="0"/>
          <w:bCs w:val="0"/>
          <w:color w:val="auto"/>
          <w:highlight w:val="none"/>
        </w:rPr>
        <w:t>监控中心的信号上传，优先采用光缆直接接入；若无条件采用光缆接入，</w:t>
      </w:r>
      <w:r>
        <w:rPr>
          <w:rFonts w:hint="eastAsia" w:ascii="Times New Roman" w:hAnsi="Times New Roman"/>
          <w:b w:val="0"/>
          <w:bCs w:val="0"/>
          <w:color w:val="auto"/>
          <w:highlight w:val="none"/>
          <w:lang w:eastAsia="zh-CN"/>
        </w:rPr>
        <w:t>可</w:t>
      </w:r>
      <w:r>
        <w:rPr>
          <w:rFonts w:hint="eastAsia" w:ascii="Times New Roman" w:hAnsi="Times New Roman"/>
          <w:b w:val="0"/>
          <w:bCs w:val="0"/>
          <w:color w:val="auto"/>
          <w:highlight w:val="none"/>
        </w:rPr>
        <w:t>租用运营商 MPLS-VPN专线链路</w:t>
      </w:r>
      <w:r>
        <w:rPr>
          <w:rFonts w:hint="eastAsia" w:ascii="Times New Roman" w:hAnsi="Times New Roman"/>
          <w:b w:val="0"/>
          <w:bCs w:val="0"/>
          <w:color w:val="auto"/>
          <w:highlight w:val="none"/>
          <w:lang w:val="en-US" w:eastAsia="zh-CN"/>
        </w:rPr>
        <w:t>等</w:t>
      </w:r>
      <w:r>
        <w:rPr>
          <w:rFonts w:hint="eastAsia" w:ascii="Times New Roman" w:hAnsi="Times New Roman"/>
          <w:b w:val="0"/>
          <w:bCs w:val="0"/>
          <w:color w:val="auto"/>
          <w:highlight w:val="none"/>
        </w:rPr>
        <w:t>方式接入</w:t>
      </w:r>
      <w:r>
        <w:rPr>
          <w:rFonts w:hint="eastAsia" w:ascii="Times New Roman" w:hAnsi="Times New Roman"/>
          <w:b w:val="0"/>
          <w:bCs w:val="0"/>
          <w:color w:val="auto"/>
          <w:highlight w:val="none"/>
          <w:lang w:eastAsia="zh-CN"/>
        </w:rPr>
        <w:t>。</w:t>
      </w:r>
      <w:r>
        <w:rPr>
          <w:rFonts w:hint="eastAsia" w:ascii="Times New Roman" w:hAnsi="Times New Roman"/>
          <w:color w:val="auto"/>
          <w:highlight w:val="none"/>
        </w:rPr>
        <w:t>】</w:t>
      </w:r>
    </w:p>
    <w:p w14:paraId="1BE9D5EC">
      <w:pPr>
        <w:rPr>
          <w:rFonts w:ascii="Times New Roman" w:hAnsi="Times New Roman"/>
          <w:color w:val="auto"/>
          <w:highlight w:val="none"/>
        </w:rPr>
      </w:pPr>
      <w:r>
        <w:rPr>
          <w:rFonts w:ascii="黑体" w:hAnsi="黑体" w:eastAsia="黑体" w:cs="黑体"/>
          <w:b/>
          <w:bCs/>
          <w:color w:val="auto"/>
          <w:highlight w:val="none"/>
        </w:rPr>
        <w:t>7.4.</w:t>
      </w:r>
      <w:r>
        <w:rPr>
          <w:rFonts w:hint="eastAsia" w:ascii="黑体" w:hAnsi="黑体" w:eastAsia="黑体" w:cs="黑体"/>
          <w:b/>
          <w:bCs/>
          <w:color w:val="auto"/>
          <w:highlight w:val="none"/>
          <w:lang w:val="en-US" w:eastAsia="zh-CN"/>
        </w:rPr>
        <w:t>4</w:t>
      </w:r>
      <w:r>
        <w:rPr>
          <w:rFonts w:ascii="黑体" w:hAnsi="黑体" w:eastAsia="黑体" w:cs="黑体"/>
          <w:b/>
          <w:bCs/>
          <w:color w:val="auto"/>
          <w:highlight w:val="none"/>
        </w:rPr>
        <w:t xml:space="preserve"> </w:t>
      </w:r>
      <w:r>
        <w:rPr>
          <w:rFonts w:hint="eastAsia" w:ascii="Times New Roman" w:hAnsi="Times New Roman"/>
          <w:color w:val="auto"/>
          <w:highlight w:val="none"/>
        </w:rPr>
        <w:t>小型综合管廊的监控与报警设备防护等级不宜低于I</w:t>
      </w:r>
      <w:r>
        <w:rPr>
          <w:rFonts w:ascii="Times New Roman" w:hAnsi="Times New Roman"/>
          <w:color w:val="auto"/>
          <w:highlight w:val="none"/>
        </w:rPr>
        <w:t>P65</w:t>
      </w:r>
      <w:r>
        <w:rPr>
          <w:rFonts w:hint="eastAsia" w:ascii="Times New Roman" w:hAnsi="Times New Roman"/>
          <w:color w:val="auto"/>
          <w:highlight w:val="none"/>
        </w:rPr>
        <w:t>。</w:t>
      </w:r>
    </w:p>
    <w:p w14:paraId="35B3992B">
      <w:pPr>
        <w:rPr>
          <w:rFonts w:hint="eastAsia" w:ascii="Times New Roman" w:hAnsi="Times New Roman"/>
          <w:color w:val="auto"/>
          <w:highlight w:val="none"/>
        </w:rPr>
      </w:pPr>
      <w:r>
        <w:rPr>
          <w:rFonts w:ascii="黑体" w:hAnsi="黑体" w:eastAsia="黑体" w:cs="黑体"/>
          <w:b/>
          <w:bCs/>
          <w:color w:val="auto"/>
          <w:highlight w:val="none"/>
        </w:rPr>
        <w:t>7.4.</w:t>
      </w:r>
      <w:r>
        <w:rPr>
          <w:rFonts w:hint="eastAsia" w:ascii="黑体" w:hAnsi="黑体" w:eastAsia="黑体" w:cs="黑体"/>
          <w:b/>
          <w:bCs/>
          <w:color w:val="auto"/>
          <w:highlight w:val="none"/>
          <w:lang w:val="en-US" w:eastAsia="zh-CN"/>
        </w:rPr>
        <w:t>5</w:t>
      </w:r>
      <w:r>
        <w:rPr>
          <w:rFonts w:ascii="黑体" w:hAnsi="黑体" w:eastAsia="黑体" w:cs="黑体"/>
          <w:b/>
          <w:bCs/>
          <w:color w:val="auto"/>
          <w:highlight w:val="none"/>
        </w:rPr>
        <w:t xml:space="preserve"> </w:t>
      </w:r>
      <w:r>
        <w:rPr>
          <w:rFonts w:hint="eastAsia" w:ascii="Times New Roman" w:hAnsi="Times New Roman"/>
          <w:color w:val="auto"/>
          <w:highlight w:val="none"/>
        </w:rPr>
        <w:t>小型综合管廊的监控与报警设备宜采用工业级产品。</w:t>
      </w:r>
    </w:p>
    <w:p w14:paraId="770807CB">
      <w:pPr>
        <w:rPr>
          <w:rFonts w:hint="eastAsia" w:ascii="Times New Roman" w:hAnsi="Times New Roman"/>
          <w:color w:val="auto"/>
          <w:highlight w:val="none"/>
        </w:rPr>
      </w:pPr>
      <w:r>
        <w:rPr>
          <w:rFonts w:hint="eastAsia" w:ascii="Times New Roman" w:hAnsi="Times New Roman"/>
          <w:color w:val="auto"/>
          <w:highlight w:val="none"/>
        </w:rPr>
        <w:t>【</w:t>
      </w:r>
      <w:r>
        <w:rPr>
          <w:rFonts w:hint="eastAsia" w:ascii="Times New Roman" w:hAnsi="Times New Roman"/>
          <w:b/>
          <w:bCs/>
          <w:color w:val="auto"/>
          <w:highlight w:val="none"/>
        </w:rPr>
        <w:t>条文说明：</w:t>
      </w:r>
      <w:r>
        <w:rPr>
          <w:rFonts w:hint="eastAsia" w:ascii="Times New Roman" w:hAnsi="Times New Roman"/>
          <w:color w:val="auto"/>
          <w:highlight w:val="none"/>
        </w:rPr>
        <w:t>根据厦门地区地理位置及综合管廊环境条件，廊内比较潮湿，故</w:t>
      </w:r>
      <w:r>
        <w:rPr>
          <w:rFonts w:hint="eastAsia" w:ascii="Times New Roman" w:hAnsi="Times New Roman"/>
          <w:color w:val="auto"/>
          <w:highlight w:val="none"/>
          <w:lang w:val="en-US" w:eastAsia="zh-CN"/>
        </w:rPr>
        <w:t>建议采用工业级产品</w:t>
      </w:r>
      <w:r>
        <w:rPr>
          <w:rFonts w:hint="eastAsia" w:ascii="Times New Roman" w:hAnsi="Times New Roman"/>
          <w:b w:val="0"/>
          <w:bCs w:val="0"/>
          <w:color w:val="auto"/>
          <w:highlight w:val="none"/>
          <w:lang w:eastAsia="zh-CN"/>
        </w:rPr>
        <w:t>。</w:t>
      </w:r>
      <w:r>
        <w:rPr>
          <w:rFonts w:hint="eastAsia" w:ascii="Times New Roman" w:hAnsi="Times New Roman"/>
          <w:color w:val="auto"/>
          <w:highlight w:val="none"/>
        </w:rPr>
        <w:t>】</w:t>
      </w:r>
    </w:p>
    <w:p w14:paraId="16BA7597">
      <w:pPr>
        <w:rPr>
          <w:rFonts w:ascii="Times New Roman" w:hAnsi="Times New Roman"/>
          <w:color w:val="auto"/>
          <w:highlight w:val="none"/>
        </w:rPr>
      </w:pPr>
      <w:r>
        <w:rPr>
          <w:rFonts w:ascii="黑体" w:hAnsi="黑体" w:eastAsia="黑体" w:cs="黑体"/>
          <w:b/>
          <w:bCs/>
          <w:color w:val="auto"/>
          <w:highlight w:val="none"/>
        </w:rPr>
        <w:t>7.4.</w:t>
      </w:r>
      <w:r>
        <w:rPr>
          <w:rFonts w:hint="eastAsia" w:ascii="黑体" w:hAnsi="黑体" w:eastAsia="黑体" w:cs="黑体"/>
          <w:b/>
          <w:bCs/>
          <w:color w:val="auto"/>
          <w:highlight w:val="none"/>
          <w:lang w:val="en-US" w:eastAsia="zh-CN"/>
        </w:rPr>
        <w:t>6</w:t>
      </w:r>
      <w:r>
        <w:rPr>
          <w:rFonts w:ascii="黑体" w:hAnsi="黑体" w:eastAsia="黑体" w:cs="黑体"/>
          <w:b/>
          <w:bCs/>
          <w:color w:val="auto"/>
          <w:highlight w:val="none"/>
        </w:rPr>
        <w:t xml:space="preserve"> </w:t>
      </w:r>
      <w:r>
        <w:rPr>
          <w:rFonts w:hint="eastAsia" w:ascii="Times New Roman" w:hAnsi="Times New Roman"/>
          <w:color w:val="auto"/>
          <w:highlight w:val="none"/>
        </w:rPr>
        <w:t>小型综合管廊人员出入口、电力电缆中间接头区、舱室集水坑等宜装设红外型视频监控设备。</w:t>
      </w:r>
    </w:p>
    <w:p w14:paraId="5D63FF8B">
      <w:pPr>
        <w:rPr>
          <w:rFonts w:hint="eastAsia" w:ascii="Times New Roman" w:hAnsi="Times New Roman"/>
          <w:color w:val="auto"/>
          <w:highlight w:val="none"/>
        </w:rPr>
      </w:pPr>
      <w:r>
        <w:rPr>
          <w:rFonts w:ascii="黑体" w:hAnsi="黑体" w:eastAsia="黑体" w:cs="黑体"/>
          <w:b/>
          <w:bCs/>
          <w:color w:val="auto"/>
          <w:highlight w:val="none"/>
        </w:rPr>
        <w:t>7.4.</w:t>
      </w:r>
      <w:r>
        <w:rPr>
          <w:rFonts w:hint="eastAsia" w:ascii="黑体" w:hAnsi="黑体" w:eastAsia="黑体" w:cs="黑体"/>
          <w:b/>
          <w:bCs/>
          <w:color w:val="auto"/>
          <w:highlight w:val="none"/>
          <w:lang w:val="en-US" w:eastAsia="zh-CN"/>
        </w:rPr>
        <w:t>7</w:t>
      </w:r>
      <w:r>
        <w:rPr>
          <w:rFonts w:ascii="黑体" w:hAnsi="黑体" w:eastAsia="黑体" w:cs="黑体"/>
          <w:b/>
          <w:bCs/>
          <w:color w:val="auto"/>
          <w:highlight w:val="none"/>
        </w:rPr>
        <w:t xml:space="preserve"> </w:t>
      </w:r>
      <w:r>
        <w:rPr>
          <w:rFonts w:hint="eastAsia" w:ascii="Times New Roman" w:hAnsi="Times New Roman"/>
          <w:color w:val="auto"/>
          <w:highlight w:val="none"/>
        </w:rPr>
        <w:t>小型综合管廊宜设置构筑物本体结构安全监测。</w:t>
      </w:r>
    </w:p>
    <w:p w14:paraId="58026B05">
      <w:pPr>
        <w:rPr>
          <w:rFonts w:hint="eastAsia" w:ascii="Times New Roman" w:hAnsi="Times New Roman"/>
          <w:color w:val="auto"/>
          <w:highlight w:val="none"/>
        </w:rPr>
      </w:pPr>
      <w:r>
        <w:rPr>
          <w:rFonts w:hint="eastAsia" w:ascii="Times New Roman" w:hAnsi="Times New Roman"/>
          <w:color w:val="auto"/>
          <w:highlight w:val="none"/>
        </w:rPr>
        <w:t>【</w:t>
      </w:r>
      <w:r>
        <w:rPr>
          <w:rFonts w:hint="eastAsia" w:ascii="Times New Roman" w:hAnsi="Times New Roman"/>
          <w:b/>
          <w:bCs/>
          <w:color w:val="auto"/>
          <w:highlight w:val="none"/>
        </w:rPr>
        <w:t>条文说明：</w:t>
      </w:r>
      <w:r>
        <w:rPr>
          <w:rFonts w:hint="eastAsia" w:ascii="Times New Roman" w:hAnsi="Times New Roman"/>
          <w:b w:val="0"/>
          <w:bCs w:val="0"/>
          <w:color w:val="auto"/>
          <w:highlight w:val="none"/>
        </w:rPr>
        <w:t>构筑物本体结构安全监测系统应结合小型综合管廊特点，廊内布置的感知终端宜采用免维护或少维护产品，如分布式光纤（光缆）等，并随新技术发展，融合多感知应用</w:t>
      </w:r>
      <w:r>
        <w:rPr>
          <w:rFonts w:hint="eastAsia" w:ascii="Times New Roman" w:hAnsi="Times New Roman"/>
          <w:b w:val="0"/>
          <w:bCs w:val="0"/>
          <w:color w:val="auto"/>
          <w:highlight w:val="none"/>
          <w:lang w:eastAsia="zh-CN"/>
        </w:rPr>
        <w:t>。</w:t>
      </w:r>
      <w:r>
        <w:rPr>
          <w:rFonts w:hint="eastAsia" w:ascii="Times New Roman" w:hAnsi="Times New Roman"/>
          <w:color w:val="auto"/>
          <w:highlight w:val="none"/>
        </w:rPr>
        <w:t>】</w:t>
      </w:r>
    </w:p>
    <w:p w14:paraId="231E5173">
      <w:pPr>
        <w:keepNext w:val="0"/>
        <w:keepLines w:val="0"/>
        <w:pageBreakBefore w:val="0"/>
        <w:widowControl w:val="0"/>
        <w:kinsoku/>
        <w:wordWrap/>
        <w:overflowPunct/>
        <w:topLinePunct w:val="0"/>
        <w:autoSpaceDE/>
        <w:autoSpaceDN/>
        <w:bidi w:val="0"/>
        <w:adjustRightInd w:val="0"/>
        <w:snapToGrid/>
        <w:ind w:firstLine="0" w:firstLineChars="0"/>
        <w:textAlignment w:val="auto"/>
        <w:rPr>
          <w:rFonts w:hint="eastAsia" w:ascii="Times New Roman" w:hAnsi="Times New Roman"/>
          <w:color w:val="auto"/>
          <w:highlight w:val="none"/>
        </w:rPr>
      </w:pPr>
      <w:r>
        <w:rPr>
          <w:rFonts w:hint="eastAsia" w:ascii="黑体" w:hAnsi="黑体" w:eastAsia="黑体" w:cs="黑体"/>
          <w:b/>
          <w:bCs/>
          <w:color w:val="auto"/>
          <w:highlight w:val="none"/>
        </w:rPr>
        <w:t>7</w:t>
      </w:r>
      <w:r>
        <w:rPr>
          <w:rFonts w:ascii="黑体" w:hAnsi="黑体" w:eastAsia="黑体" w:cs="黑体"/>
          <w:b/>
          <w:bCs/>
          <w:color w:val="auto"/>
          <w:highlight w:val="none"/>
        </w:rPr>
        <w:t>.4.</w:t>
      </w:r>
      <w:r>
        <w:rPr>
          <w:rFonts w:hint="eastAsia" w:ascii="黑体" w:hAnsi="黑体" w:eastAsia="黑体" w:cs="黑体"/>
          <w:b/>
          <w:bCs/>
          <w:color w:val="auto"/>
          <w:highlight w:val="none"/>
          <w:lang w:val="en-US" w:eastAsia="zh-CN"/>
        </w:rPr>
        <w:t>8</w:t>
      </w:r>
      <w:r>
        <w:rPr>
          <w:rFonts w:ascii="黑体" w:hAnsi="黑体" w:eastAsia="黑体" w:cs="黑体"/>
          <w:b/>
          <w:bCs/>
          <w:color w:val="auto"/>
          <w:highlight w:val="none"/>
        </w:rPr>
        <w:t xml:space="preserve"> </w:t>
      </w:r>
      <w:r>
        <w:rPr>
          <w:rFonts w:hint="eastAsia" w:ascii="Times New Roman" w:hAnsi="Times New Roman"/>
          <w:color w:val="auto"/>
          <w:highlight w:val="none"/>
        </w:rPr>
        <w:t>小型综合管廊应统一接入全市综合管廊管理平台，应纳入城市生命线安全工程监管内容，并符合下列要求：</w:t>
      </w:r>
    </w:p>
    <w:p w14:paraId="4A7227AA">
      <w:pPr>
        <w:keepNext w:val="0"/>
        <w:keepLines w:val="0"/>
        <w:pageBreakBefore w:val="0"/>
        <w:widowControl w:val="0"/>
        <w:kinsoku/>
        <w:wordWrap/>
        <w:overflowPunct/>
        <w:topLinePunct w:val="0"/>
        <w:autoSpaceDE/>
        <w:autoSpaceDN/>
        <w:bidi w:val="0"/>
        <w:adjustRightInd w:val="0"/>
        <w:snapToGrid/>
        <w:ind w:left="0" w:leftChars="0" w:firstLine="420" w:firstLineChars="200"/>
        <w:textAlignment w:val="auto"/>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1 各类监控与报警系统信号应采用标准化开放通信协议接入统一管理平台；</w:t>
      </w:r>
    </w:p>
    <w:p w14:paraId="2D392DE7">
      <w:pPr>
        <w:keepNext w:val="0"/>
        <w:keepLines w:val="0"/>
        <w:pageBreakBefore w:val="0"/>
        <w:widowControl w:val="0"/>
        <w:kinsoku/>
        <w:wordWrap/>
        <w:overflowPunct/>
        <w:topLinePunct w:val="0"/>
        <w:autoSpaceDE/>
        <w:autoSpaceDN/>
        <w:bidi w:val="0"/>
        <w:adjustRightInd w:val="0"/>
        <w:snapToGrid/>
        <w:ind w:firstLine="420" w:firstLineChars="200"/>
        <w:textAlignment w:val="auto"/>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2 应建立小型综合管廊空间数据模型，包含管廊本体三维坐标、管廊管线拓扑关系、附属设施等空间要素。</w:t>
      </w:r>
    </w:p>
    <w:p w14:paraId="548F94D4">
      <w:pPr>
        <w:rPr>
          <w:rFonts w:hint="eastAsia" w:ascii="Times New Roman" w:hAnsi="Times New Roman" w:eastAsia="宋体" w:cs="Times New Roman"/>
          <w:i w:val="0"/>
          <w:iCs w:val="0"/>
          <w:caps w:val="0"/>
          <w:color w:val="auto"/>
          <w:spacing w:val="0"/>
          <w:sz w:val="21"/>
          <w:szCs w:val="21"/>
          <w:highlight w:val="none"/>
          <w:shd w:val="clear" w:fill="FFFFFF"/>
          <w:vertAlign w:val="baseline"/>
        </w:rPr>
      </w:pPr>
      <w:r>
        <w:rPr>
          <w:rFonts w:hint="eastAsia" w:ascii="Times New Roman" w:hAnsi="Times New Roman" w:eastAsia="宋体" w:cs="Times New Roman"/>
          <w:i w:val="0"/>
          <w:iCs w:val="0"/>
          <w:caps w:val="0"/>
          <w:color w:val="auto"/>
          <w:spacing w:val="0"/>
          <w:sz w:val="21"/>
          <w:szCs w:val="21"/>
          <w:highlight w:val="none"/>
          <w:shd w:val="clear" w:fill="FFFFFF"/>
          <w:vertAlign w:val="baseline"/>
        </w:rPr>
        <w:t>【</w:t>
      </w:r>
      <w:r>
        <w:rPr>
          <w:rFonts w:hint="eastAsia" w:ascii="Times New Roman" w:hAnsi="Times New Roman" w:eastAsia="宋体" w:cs="Times New Roman"/>
          <w:b/>
          <w:bCs/>
          <w:i w:val="0"/>
          <w:iCs w:val="0"/>
          <w:caps w:val="0"/>
          <w:color w:val="auto"/>
          <w:spacing w:val="0"/>
          <w:sz w:val="21"/>
          <w:szCs w:val="21"/>
          <w:highlight w:val="none"/>
          <w:shd w:val="clear" w:fill="FFFFFF"/>
          <w:vertAlign w:val="baseline"/>
        </w:rPr>
        <w:t>条文说明：</w:t>
      </w:r>
      <w:r>
        <w:rPr>
          <w:rFonts w:hint="eastAsia" w:ascii="Times New Roman" w:hAnsi="Times New Roman" w:eastAsia="宋体" w:cs="Times New Roman"/>
          <w:i w:val="0"/>
          <w:iCs w:val="0"/>
          <w:caps w:val="0"/>
          <w:color w:val="auto"/>
          <w:spacing w:val="0"/>
          <w:sz w:val="21"/>
          <w:szCs w:val="21"/>
          <w:highlight w:val="none"/>
          <w:shd w:val="clear" w:fill="FFFFFF"/>
          <w:vertAlign w:val="baseline"/>
        </w:rPr>
        <w:t>统一管理平台实现多系统数据融合应采用标准化开放通信协议，如OPC UA、MQTT等；空间数据模型应符合国标《城市信息模型基础平台技术标准》CJJ/T315-2022要求。】</w:t>
      </w:r>
    </w:p>
    <w:p w14:paraId="39879F8E">
      <w:pPr>
        <w:rPr>
          <w:rFonts w:hint="eastAsia" w:ascii="黑体" w:hAnsi="黑体" w:eastAsia="黑体" w:cs="黑体"/>
          <w:b/>
          <w:bCs/>
          <w:color w:val="auto"/>
          <w:highlight w:val="none"/>
        </w:rPr>
      </w:pPr>
      <w:r>
        <w:rPr>
          <w:rFonts w:hint="eastAsia" w:ascii="黑体" w:hAnsi="黑体" w:eastAsia="黑体" w:cs="黑体"/>
          <w:b/>
          <w:bCs/>
          <w:color w:val="auto"/>
          <w:highlight w:val="none"/>
        </w:rPr>
        <w:t xml:space="preserve">7.4.9 </w:t>
      </w:r>
      <w:r>
        <w:rPr>
          <w:rFonts w:hint="eastAsia" w:ascii="Times New Roman" w:hAnsi="Times New Roman"/>
          <w:color w:val="auto"/>
          <w:highlight w:val="none"/>
        </w:rPr>
        <w:t>小型综合管廊宜采用人工智能、机器人等信息化、智能化技术，辅助人工巡检和运维。</w:t>
      </w:r>
    </w:p>
    <w:p w14:paraId="7EE9563C">
      <w:pPr>
        <w:pStyle w:val="34"/>
        <w:spacing w:before="156" w:beforeLines="50" w:after="156" w:afterLines="50" w:line="400" w:lineRule="exact"/>
        <w:outlineLvl w:val="2"/>
        <w:rPr>
          <w:rFonts w:ascii="黑体" w:hAnsi="黑体" w:cs="黑体"/>
          <w:color w:val="auto"/>
          <w:sz w:val="21"/>
          <w:szCs w:val="21"/>
          <w:highlight w:val="none"/>
        </w:rPr>
      </w:pPr>
      <w:bookmarkStart w:id="120" w:name="_Toc29673"/>
      <w:bookmarkStart w:id="121" w:name="_Toc12948"/>
      <w:bookmarkStart w:id="122" w:name="_Toc28109"/>
      <w:r>
        <w:rPr>
          <w:rFonts w:hint="eastAsia" w:ascii="黑体" w:hAnsi="黑体" w:cs="黑体"/>
          <w:color w:val="auto"/>
          <w:sz w:val="21"/>
          <w:szCs w:val="21"/>
          <w:highlight w:val="none"/>
        </w:rPr>
        <w:t>7.</w:t>
      </w:r>
      <w:r>
        <w:rPr>
          <w:rFonts w:ascii="黑体" w:hAnsi="黑体" w:cs="黑体"/>
          <w:color w:val="auto"/>
          <w:sz w:val="21"/>
          <w:szCs w:val="21"/>
          <w:highlight w:val="none"/>
        </w:rPr>
        <w:t>5</w:t>
      </w:r>
      <w:r>
        <w:rPr>
          <w:rFonts w:hint="eastAsia" w:ascii="黑体" w:hAnsi="黑体" w:cs="黑体"/>
          <w:color w:val="auto"/>
          <w:sz w:val="21"/>
          <w:szCs w:val="21"/>
          <w:highlight w:val="none"/>
        </w:rPr>
        <w:t xml:space="preserve"> 排水</w:t>
      </w:r>
      <w:bookmarkEnd w:id="120"/>
      <w:bookmarkEnd w:id="121"/>
      <w:bookmarkEnd w:id="122"/>
    </w:p>
    <w:p w14:paraId="0DBDBDED">
      <w:pPr>
        <w:rPr>
          <w:rFonts w:hint="eastAsia" w:ascii="Times New Roman" w:hAnsi="Times New Roman"/>
          <w:color w:val="auto"/>
          <w:highlight w:val="none"/>
        </w:rPr>
      </w:pPr>
      <w:r>
        <w:rPr>
          <w:rFonts w:ascii="黑体" w:hAnsi="黑体" w:eastAsia="黑体" w:cs="黑体"/>
          <w:b/>
          <w:bCs/>
          <w:color w:val="auto"/>
          <w:highlight w:val="none"/>
        </w:rPr>
        <w:t>7.5.</w:t>
      </w:r>
      <w:r>
        <w:rPr>
          <w:rFonts w:hint="eastAsia" w:ascii="黑体" w:hAnsi="黑体" w:eastAsia="黑体" w:cs="黑体"/>
          <w:b/>
          <w:bCs/>
          <w:color w:val="auto"/>
          <w:highlight w:val="none"/>
        </w:rPr>
        <w:t>1</w:t>
      </w:r>
      <w:r>
        <w:rPr>
          <w:rFonts w:hint="eastAsia" w:ascii="Times New Roman" w:hAnsi="Times New Roman"/>
          <w:color w:val="auto"/>
          <w:highlight w:val="none"/>
        </w:rPr>
        <w:t xml:space="preserve"> 小型综合管廊应设置自动排水系统。</w:t>
      </w:r>
    </w:p>
    <w:p w14:paraId="4AA1500A">
      <w:pPr>
        <w:rPr>
          <w:rFonts w:ascii="Times New Roman" w:hAnsi="Times New Roman"/>
          <w:color w:val="auto"/>
          <w:highlight w:val="none"/>
        </w:rPr>
      </w:pPr>
      <w:r>
        <w:rPr>
          <w:rFonts w:ascii="黑体" w:hAnsi="黑体" w:eastAsia="黑体" w:cs="黑体"/>
          <w:b/>
          <w:bCs/>
          <w:color w:val="auto"/>
          <w:highlight w:val="none"/>
        </w:rPr>
        <w:t>7.5.</w:t>
      </w:r>
      <w:r>
        <w:rPr>
          <w:rFonts w:hint="eastAsia" w:ascii="黑体" w:hAnsi="黑体" w:eastAsia="黑体" w:cs="黑体"/>
          <w:b/>
          <w:bCs/>
          <w:color w:val="auto"/>
          <w:highlight w:val="none"/>
        </w:rPr>
        <w:t>2</w:t>
      </w:r>
      <w:r>
        <w:rPr>
          <w:rFonts w:ascii="Times New Roman" w:hAnsi="Times New Roman"/>
          <w:color w:val="auto"/>
          <w:highlight w:val="none"/>
        </w:rPr>
        <w:t xml:space="preserve"> </w:t>
      </w:r>
      <w:r>
        <w:rPr>
          <w:rFonts w:hint="eastAsia" w:ascii="Times New Roman" w:hAnsi="Times New Roman"/>
          <w:color w:val="auto"/>
          <w:highlight w:val="none"/>
        </w:rPr>
        <w:t>综合管廊高程</w:t>
      </w:r>
      <w:r>
        <w:rPr>
          <w:rFonts w:hint="eastAsia" w:ascii="Times New Roman" w:hAnsi="Times New Roman"/>
          <w:color w:val="auto"/>
          <w:highlight w:val="none"/>
          <w:lang w:eastAsia="zh-CN"/>
        </w:rPr>
        <w:t>纵坡相对</w:t>
      </w:r>
      <w:r>
        <w:rPr>
          <w:rFonts w:hint="eastAsia" w:ascii="Times New Roman" w:hAnsi="Times New Roman"/>
          <w:color w:val="auto"/>
          <w:highlight w:val="none"/>
        </w:rPr>
        <w:t>低点处应设置集水坑。</w:t>
      </w:r>
    </w:p>
    <w:p w14:paraId="0B725583">
      <w:pPr>
        <w:rPr>
          <w:rFonts w:ascii="Times New Roman" w:hAnsi="Times New Roman"/>
          <w:color w:val="auto"/>
          <w:highlight w:val="none"/>
        </w:rPr>
      </w:pPr>
      <w:r>
        <w:rPr>
          <w:rFonts w:ascii="黑体" w:hAnsi="黑体" w:eastAsia="黑体" w:cs="黑体"/>
          <w:b/>
          <w:bCs/>
          <w:color w:val="auto"/>
          <w:highlight w:val="none"/>
        </w:rPr>
        <w:t>7.5.3</w:t>
      </w:r>
      <w:r>
        <w:rPr>
          <w:rFonts w:hint="eastAsia" w:ascii="黑体" w:hAnsi="黑体" w:eastAsia="黑体" w:cs="黑体"/>
          <w:b/>
          <w:bCs/>
          <w:color w:val="auto"/>
          <w:highlight w:val="none"/>
        </w:rPr>
        <w:t xml:space="preserve"> </w:t>
      </w:r>
      <w:r>
        <w:rPr>
          <w:rFonts w:hint="eastAsia" w:ascii="Times New Roman" w:hAnsi="Times New Roman"/>
          <w:color w:val="auto"/>
          <w:highlight w:val="none"/>
        </w:rPr>
        <w:t>小型综合管廊应排水畅通，纵向坡度不应小于0.</w:t>
      </w:r>
      <w:r>
        <w:rPr>
          <w:rFonts w:hint="eastAsia" w:ascii="Times New Roman" w:hAnsi="Times New Roman"/>
          <w:color w:val="auto"/>
          <w:highlight w:val="none"/>
          <w:lang w:val="en-US" w:eastAsia="zh-CN"/>
        </w:rPr>
        <w:t>3</w:t>
      </w:r>
      <w:r>
        <w:rPr>
          <w:rFonts w:hint="eastAsia" w:ascii="Times New Roman" w:hAnsi="Times New Roman"/>
          <w:color w:val="auto"/>
          <w:highlight w:val="none"/>
        </w:rPr>
        <w:t>%。</w:t>
      </w:r>
    </w:p>
    <w:p w14:paraId="700406FB">
      <w:pPr>
        <w:rPr>
          <w:rFonts w:hint="eastAsia" w:ascii="Times New Roman" w:hAnsi="Times New Roman"/>
          <w:color w:val="auto"/>
          <w:highlight w:val="none"/>
        </w:rPr>
      </w:pPr>
      <w:r>
        <w:rPr>
          <w:rFonts w:ascii="黑体" w:hAnsi="黑体" w:eastAsia="黑体" w:cs="黑体"/>
          <w:b/>
          <w:bCs/>
          <w:color w:val="auto"/>
          <w:highlight w:val="none"/>
        </w:rPr>
        <w:t>7.5.</w:t>
      </w:r>
      <w:r>
        <w:rPr>
          <w:rFonts w:hint="eastAsia" w:ascii="黑体" w:hAnsi="黑体" w:eastAsia="黑体" w:cs="黑体"/>
          <w:b/>
          <w:bCs/>
          <w:color w:val="auto"/>
          <w:highlight w:val="none"/>
        </w:rPr>
        <w:t xml:space="preserve">4 </w:t>
      </w:r>
      <w:r>
        <w:rPr>
          <w:rFonts w:hint="eastAsia" w:ascii="Times New Roman" w:hAnsi="Times New Roman"/>
          <w:color w:val="auto"/>
          <w:highlight w:val="none"/>
        </w:rPr>
        <w:t>小型综合管廊排水应就近接入城市排水系统，并应设置逆止阀。</w:t>
      </w:r>
    </w:p>
    <w:p w14:paraId="2DAC8F2F">
      <w:pPr>
        <w:rPr>
          <w:rFonts w:hint="eastAsia" w:ascii="Times New Roman" w:hAnsi="Times New Roman"/>
          <w:color w:val="auto"/>
          <w:highlight w:val="none"/>
          <w:lang w:val="en-US" w:eastAsia="zh-CN"/>
        </w:rPr>
      </w:pPr>
      <w:r>
        <w:rPr>
          <w:rFonts w:hint="eastAsia" w:ascii="黑体" w:hAnsi="黑体" w:eastAsia="黑体" w:cs="黑体"/>
          <w:b/>
          <w:bCs/>
          <w:color w:val="auto"/>
          <w:highlight w:val="none"/>
        </w:rPr>
        <w:t>7</w:t>
      </w:r>
      <w:r>
        <w:rPr>
          <w:rFonts w:ascii="黑体" w:hAnsi="黑体" w:eastAsia="黑体" w:cs="黑体"/>
          <w:b/>
          <w:bCs/>
          <w:color w:val="auto"/>
          <w:highlight w:val="none"/>
        </w:rPr>
        <w:t xml:space="preserve">.5.5 </w:t>
      </w:r>
      <w:r>
        <w:rPr>
          <w:rFonts w:hint="eastAsia" w:ascii="Times New Roman" w:hAnsi="Times New Roman"/>
          <w:color w:val="auto"/>
          <w:highlight w:val="none"/>
          <w:lang w:val="en-US" w:eastAsia="zh-CN"/>
        </w:rPr>
        <w:t>排水泵的控制应符合下列规定：</w:t>
      </w:r>
    </w:p>
    <w:p w14:paraId="68137AA5">
      <w:pPr>
        <w:ind w:firstLine="420" w:firstLineChars="200"/>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1 集水井应设最高水位、启泵及停泵水位信号，并宜设超高、超低水位信号报警功能；</w:t>
      </w:r>
    </w:p>
    <w:p w14:paraId="6D7D47D4">
      <w:pPr>
        <w:ind w:firstLine="420" w:firstLineChars="200"/>
        <w:rPr>
          <w:rFonts w:hint="default" w:ascii="Times New Roman" w:hAnsi="Times New Roman"/>
          <w:color w:val="auto"/>
          <w:highlight w:val="none"/>
          <w:lang w:val="en-US" w:eastAsia="zh-CN"/>
        </w:rPr>
      </w:pPr>
      <w:r>
        <w:rPr>
          <w:rFonts w:hint="eastAsia" w:ascii="Times New Roman" w:hAnsi="Times New Roman"/>
          <w:color w:val="auto"/>
          <w:highlight w:val="none"/>
          <w:lang w:val="en-US" w:eastAsia="zh-CN"/>
        </w:rPr>
        <w:t>2 排水泵的工作状态、故障状态及集水井水位信号应在监控中心显示。</w:t>
      </w:r>
    </w:p>
    <w:p w14:paraId="658CC803">
      <w:pPr>
        <w:pStyle w:val="34"/>
        <w:spacing w:before="156" w:beforeLines="50" w:after="156" w:afterLines="50" w:line="400" w:lineRule="exact"/>
        <w:outlineLvl w:val="2"/>
        <w:rPr>
          <w:rFonts w:hint="eastAsia" w:ascii="黑体" w:hAnsi="黑体" w:eastAsia="黑体" w:cs="黑体"/>
          <w:color w:val="auto"/>
          <w:sz w:val="21"/>
          <w:szCs w:val="21"/>
          <w:highlight w:val="none"/>
          <w:lang w:eastAsia="zh-CN"/>
        </w:rPr>
      </w:pPr>
      <w:bookmarkStart w:id="123" w:name="_Toc28565"/>
      <w:bookmarkStart w:id="124" w:name="_Toc23555"/>
      <w:bookmarkStart w:id="125" w:name="_Toc25878"/>
      <w:r>
        <w:rPr>
          <w:rFonts w:hint="eastAsia" w:ascii="黑体" w:hAnsi="黑体" w:cs="黑体"/>
          <w:color w:val="auto"/>
          <w:sz w:val="21"/>
          <w:szCs w:val="21"/>
          <w:highlight w:val="none"/>
        </w:rPr>
        <w:t>7.</w:t>
      </w:r>
      <w:r>
        <w:rPr>
          <w:rFonts w:ascii="黑体" w:hAnsi="黑体" w:cs="黑体"/>
          <w:color w:val="auto"/>
          <w:sz w:val="21"/>
          <w:szCs w:val="21"/>
          <w:highlight w:val="none"/>
        </w:rPr>
        <w:t>6</w:t>
      </w:r>
      <w:r>
        <w:rPr>
          <w:rFonts w:hint="eastAsia" w:ascii="黑体" w:hAnsi="黑体" w:cs="黑体"/>
          <w:color w:val="auto"/>
          <w:sz w:val="21"/>
          <w:szCs w:val="21"/>
          <w:highlight w:val="none"/>
        </w:rPr>
        <w:t xml:space="preserve"> 标识</w:t>
      </w:r>
      <w:bookmarkEnd w:id="123"/>
      <w:bookmarkEnd w:id="124"/>
      <w:bookmarkEnd w:id="125"/>
      <w:r>
        <w:rPr>
          <w:rFonts w:hint="eastAsia" w:ascii="黑体" w:hAnsi="黑体" w:cs="黑体"/>
          <w:color w:val="auto"/>
          <w:sz w:val="21"/>
          <w:szCs w:val="21"/>
          <w:highlight w:val="none"/>
        </w:rPr>
        <w:t xml:space="preserve"> </w:t>
      </w:r>
    </w:p>
    <w:p w14:paraId="0A66ADE5">
      <w:pPr>
        <w:rPr>
          <w:rFonts w:ascii="Times New Roman" w:hAnsi="Times New Roman"/>
          <w:color w:val="auto"/>
          <w:highlight w:val="none"/>
        </w:rPr>
      </w:pPr>
      <w:r>
        <w:rPr>
          <w:rFonts w:hint="eastAsia" w:ascii="黑体" w:hAnsi="黑体" w:eastAsia="黑体" w:cs="黑体"/>
          <w:b/>
          <w:bCs/>
          <w:color w:val="auto"/>
          <w:highlight w:val="none"/>
        </w:rPr>
        <w:t>7.6.1</w:t>
      </w:r>
      <w:r>
        <w:rPr>
          <w:rFonts w:ascii="黑体" w:hAnsi="黑体" w:eastAsia="黑体" w:cs="黑体"/>
          <w:b/>
          <w:bCs/>
          <w:color w:val="auto"/>
          <w:highlight w:val="none"/>
        </w:rPr>
        <w:t xml:space="preserve"> </w:t>
      </w:r>
      <w:r>
        <w:rPr>
          <w:rFonts w:hint="eastAsia" w:ascii="Times New Roman" w:hAnsi="Times New Roman"/>
          <w:color w:val="auto"/>
          <w:highlight w:val="none"/>
        </w:rPr>
        <w:t>小型综合管廊安全标志应符合现行国家标准《安全标志及其使用导则》GB2894的有关规定。</w:t>
      </w:r>
    </w:p>
    <w:p w14:paraId="42829E9E">
      <w:pPr>
        <w:rPr>
          <w:rFonts w:ascii="Times New Roman" w:hAnsi="Times New Roman"/>
          <w:color w:val="auto"/>
          <w:highlight w:val="none"/>
        </w:rPr>
      </w:pPr>
      <w:r>
        <w:rPr>
          <w:rFonts w:hint="eastAsia" w:ascii="黑体" w:hAnsi="黑体" w:eastAsia="黑体" w:cs="黑体"/>
          <w:b/>
          <w:bCs/>
          <w:color w:val="auto"/>
          <w:highlight w:val="none"/>
        </w:rPr>
        <w:t>7</w:t>
      </w:r>
      <w:r>
        <w:rPr>
          <w:rFonts w:ascii="黑体" w:hAnsi="黑体" w:eastAsia="黑体" w:cs="黑体"/>
          <w:b/>
          <w:bCs/>
          <w:color w:val="auto"/>
          <w:highlight w:val="none"/>
        </w:rPr>
        <w:t xml:space="preserve">.6.2 </w:t>
      </w:r>
      <w:r>
        <w:rPr>
          <w:rFonts w:hint="eastAsia" w:ascii="Times New Roman" w:hAnsi="Times New Roman"/>
          <w:color w:val="auto"/>
          <w:highlight w:val="none"/>
        </w:rPr>
        <w:t>小型综合管廊的起终点应设置综合管廊介绍牌﹐并应标明综合管廊建设时间、规模﹑容纳管线。</w:t>
      </w:r>
    </w:p>
    <w:p w14:paraId="7DB67D93">
      <w:pPr>
        <w:rPr>
          <w:rFonts w:ascii="Times New Roman" w:hAnsi="Times New Roman"/>
          <w:color w:val="auto"/>
          <w:highlight w:val="none"/>
        </w:rPr>
      </w:pPr>
      <w:r>
        <w:rPr>
          <w:rFonts w:hint="eastAsia" w:ascii="黑体" w:hAnsi="黑体" w:eastAsia="黑体" w:cs="黑体"/>
          <w:b/>
          <w:bCs/>
          <w:color w:val="auto"/>
          <w:highlight w:val="none"/>
        </w:rPr>
        <w:t xml:space="preserve">7.6.3 </w:t>
      </w:r>
      <w:r>
        <w:rPr>
          <w:rFonts w:hint="eastAsia" w:ascii="Times New Roman" w:hAnsi="Times New Roman"/>
          <w:color w:val="auto"/>
          <w:highlight w:val="none"/>
        </w:rPr>
        <w:t>纳入综合管廊的管线，应采用符合管线管理单位要求的标识进行区分，并应标明管线属性﹑规格、产权单位名称、紧急联系电话。标识应设置在醒目位置，间隔距离不应大于100m。</w:t>
      </w:r>
    </w:p>
    <w:p w14:paraId="2C18CDFC">
      <w:pPr>
        <w:rPr>
          <w:rFonts w:ascii="Times New Roman" w:hAnsi="Times New Roman"/>
          <w:color w:val="auto"/>
          <w:highlight w:val="none"/>
        </w:rPr>
      </w:pPr>
      <w:r>
        <w:rPr>
          <w:rFonts w:hint="eastAsia" w:ascii="黑体" w:hAnsi="黑体" w:eastAsia="黑体" w:cs="黑体"/>
          <w:b/>
          <w:bCs/>
          <w:color w:val="auto"/>
          <w:highlight w:val="none"/>
        </w:rPr>
        <w:t>7.6.4</w:t>
      </w:r>
      <w:r>
        <w:rPr>
          <w:rFonts w:ascii="Times New Roman" w:hAnsi="Times New Roman"/>
          <w:color w:val="auto"/>
          <w:highlight w:val="none"/>
        </w:rPr>
        <w:t xml:space="preserve"> </w:t>
      </w:r>
      <w:r>
        <w:rPr>
          <w:rFonts w:hint="eastAsia" w:ascii="Times New Roman" w:hAnsi="Times New Roman"/>
          <w:color w:val="auto"/>
          <w:highlight w:val="none"/>
        </w:rPr>
        <w:t>综合管廊的设备旁边应设置设备铭牌，并应标明设备的名称、基本数据﹑使用方式及紧急联系电话。</w:t>
      </w:r>
    </w:p>
    <w:p w14:paraId="03CDE043">
      <w:pPr>
        <w:rPr>
          <w:rFonts w:ascii="Times New Roman" w:hAnsi="Times New Roman"/>
          <w:color w:val="auto"/>
          <w:highlight w:val="none"/>
        </w:rPr>
      </w:pPr>
      <w:r>
        <w:rPr>
          <w:rFonts w:hint="eastAsia" w:ascii="黑体" w:hAnsi="黑体" w:eastAsia="黑体" w:cs="黑体"/>
          <w:b/>
          <w:bCs/>
          <w:color w:val="auto"/>
          <w:highlight w:val="none"/>
        </w:rPr>
        <w:t>7</w:t>
      </w:r>
      <w:r>
        <w:rPr>
          <w:rFonts w:ascii="黑体" w:hAnsi="黑体" w:eastAsia="黑体" w:cs="黑体"/>
          <w:b/>
          <w:bCs/>
          <w:color w:val="auto"/>
          <w:highlight w:val="none"/>
        </w:rPr>
        <w:t xml:space="preserve">.6.5 </w:t>
      </w:r>
      <w:r>
        <w:rPr>
          <w:rFonts w:hint="eastAsia" w:ascii="Times New Roman" w:hAnsi="Times New Roman"/>
          <w:color w:val="auto"/>
          <w:highlight w:val="none"/>
        </w:rPr>
        <w:t>小型综合管廊的节点等标识设置应满足《综合管廊标识系统标准设计构造图集》DBJ/T13-119（图集号:闽2022-D-2）。</w:t>
      </w:r>
    </w:p>
    <w:p w14:paraId="0C211474">
      <w:pPr>
        <w:pStyle w:val="34"/>
        <w:spacing w:before="156" w:beforeLines="50" w:after="156" w:afterLines="50" w:line="400" w:lineRule="exact"/>
        <w:outlineLvl w:val="2"/>
        <w:rPr>
          <w:rFonts w:ascii="黑体" w:hAnsi="黑体" w:cs="黑体"/>
          <w:color w:val="auto"/>
          <w:sz w:val="21"/>
          <w:szCs w:val="21"/>
          <w:highlight w:val="none"/>
        </w:rPr>
      </w:pPr>
      <w:bookmarkStart w:id="126" w:name="_Toc24626"/>
      <w:bookmarkStart w:id="127" w:name="_Toc17800"/>
      <w:bookmarkStart w:id="128" w:name="_Toc18323"/>
      <w:r>
        <w:rPr>
          <w:rFonts w:hint="eastAsia" w:ascii="黑体" w:hAnsi="黑体" w:cs="黑体"/>
          <w:color w:val="auto"/>
          <w:sz w:val="21"/>
          <w:szCs w:val="21"/>
          <w:highlight w:val="none"/>
        </w:rPr>
        <w:t>7.</w:t>
      </w:r>
      <w:r>
        <w:rPr>
          <w:rFonts w:ascii="黑体" w:hAnsi="黑体" w:cs="黑体"/>
          <w:color w:val="auto"/>
          <w:sz w:val="21"/>
          <w:szCs w:val="21"/>
          <w:highlight w:val="none"/>
        </w:rPr>
        <w:t>7</w:t>
      </w:r>
      <w:r>
        <w:rPr>
          <w:rFonts w:hint="eastAsia" w:ascii="黑体" w:hAnsi="黑体" w:cs="黑体"/>
          <w:color w:val="auto"/>
          <w:sz w:val="21"/>
          <w:szCs w:val="21"/>
          <w:highlight w:val="none"/>
        </w:rPr>
        <w:t xml:space="preserve"> 防入侵</w:t>
      </w:r>
      <w:bookmarkEnd w:id="126"/>
      <w:bookmarkEnd w:id="127"/>
      <w:bookmarkEnd w:id="128"/>
      <w:r>
        <w:rPr>
          <w:rFonts w:hint="eastAsia" w:ascii="黑体" w:hAnsi="黑体" w:cs="黑体"/>
          <w:color w:val="auto"/>
          <w:sz w:val="21"/>
          <w:szCs w:val="21"/>
          <w:highlight w:val="none"/>
        </w:rPr>
        <w:t xml:space="preserve"> </w:t>
      </w:r>
    </w:p>
    <w:p w14:paraId="6C1A5CC3">
      <w:pPr>
        <w:rPr>
          <w:rFonts w:ascii="Times New Roman" w:hAnsi="Times New Roman"/>
          <w:color w:val="auto"/>
          <w:highlight w:val="none"/>
        </w:rPr>
      </w:pPr>
      <w:r>
        <w:rPr>
          <w:rFonts w:ascii="黑体" w:hAnsi="黑体" w:eastAsia="黑体" w:cs="黑体"/>
          <w:b/>
          <w:bCs/>
          <w:color w:val="auto"/>
          <w:highlight w:val="none"/>
        </w:rPr>
        <w:t>7.7.</w:t>
      </w:r>
      <w:r>
        <w:rPr>
          <w:rFonts w:hint="eastAsia" w:ascii="黑体" w:hAnsi="黑体" w:eastAsia="黑体" w:cs="黑体"/>
          <w:b/>
          <w:bCs/>
          <w:color w:val="auto"/>
          <w:highlight w:val="none"/>
        </w:rPr>
        <w:t xml:space="preserve">1 </w:t>
      </w:r>
      <w:r>
        <w:rPr>
          <w:rFonts w:hint="eastAsia" w:ascii="Times New Roman" w:hAnsi="Times New Roman"/>
          <w:color w:val="auto"/>
          <w:highlight w:val="none"/>
        </w:rPr>
        <w:t>小型综合管廊的口部应设置防入侵措施，宜采用电子监控设施或物理防护等措施。</w:t>
      </w:r>
    </w:p>
    <w:p w14:paraId="4A658EA3">
      <w:pPr>
        <w:rPr>
          <w:rFonts w:ascii="Times New Roman" w:hAnsi="Times New Roman"/>
          <w:color w:val="auto"/>
          <w:highlight w:val="none"/>
        </w:rPr>
      </w:pPr>
      <w:r>
        <w:rPr>
          <w:rFonts w:ascii="黑体" w:hAnsi="黑体" w:eastAsia="黑体" w:cs="黑体"/>
          <w:b/>
          <w:bCs/>
          <w:color w:val="auto"/>
          <w:highlight w:val="none"/>
        </w:rPr>
        <w:t>7.7.</w:t>
      </w:r>
      <w:r>
        <w:rPr>
          <w:rFonts w:hint="eastAsia" w:ascii="黑体" w:hAnsi="黑体" w:eastAsia="黑体" w:cs="黑体"/>
          <w:b/>
          <w:bCs/>
          <w:color w:val="auto"/>
          <w:highlight w:val="none"/>
        </w:rPr>
        <w:t>2</w:t>
      </w:r>
      <w:r>
        <w:rPr>
          <w:rFonts w:ascii="黑体" w:hAnsi="黑体" w:eastAsia="黑体" w:cs="黑体"/>
          <w:b/>
          <w:bCs/>
          <w:color w:val="auto"/>
          <w:highlight w:val="none"/>
        </w:rPr>
        <w:t xml:space="preserve"> </w:t>
      </w:r>
      <w:r>
        <w:rPr>
          <w:rFonts w:hint="eastAsia" w:ascii="Times New Roman" w:hAnsi="Times New Roman"/>
          <w:color w:val="auto"/>
          <w:highlight w:val="none"/>
        </w:rPr>
        <w:t>小型综合管廊采用电子监控设施防入侵时，应把信号上传至综合管廊监控中心。</w:t>
      </w:r>
    </w:p>
    <w:p w14:paraId="240ADC13">
      <w:pPr>
        <w:widowControl/>
        <w:adjustRightInd/>
        <w:spacing w:line="240" w:lineRule="auto"/>
        <w:jc w:val="left"/>
        <w:rPr>
          <w:rFonts w:ascii="Times New Roman" w:hAnsi="Times New Roman" w:eastAsiaTheme="minorEastAsia"/>
          <w:color w:val="auto"/>
          <w:sz w:val="28"/>
          <w:highlight w:val="none"/>
        </w:rPr>
      </w:pPr>
      <w:r>
        <w:rPr>
          <w:rFonts w:ascii="Times New Roman" w:hAnsi="Times New Roman" w:eastAsiaTheme="minorEastAsia"/>
          <w:color w:val="auto"/>
          <w:sz w:val="28"/>
          <w:highlight w:val="none"/>
        </w:rPr>
        <w:br w:type="page"/>
      </w:r>
    </w:p>
    <w:p w14:paraId="6B05B93A">
      <w:pPr>
        <w:pStyle w:val="2"/>
        <w:spacing w:before="300" w:after="300" w:line="400" w:lineRule="exact"/>
        <w:jc w:val="center"/>
        <w:rPr>
          <w:rFonts w:ascii="黑体" w:hAnsi="黑体"/>
          <w:color w:val="auto"/>
          <w:highlight w:val="none"/>
        </w:rPr>
      </w:pPr>
      <w:bookmarkStart w:id="129" w:name="_Toc165020571"/>
      <w:bookmarkStart w:id="130" w:name="_Toc22847"/>
      <w:bookmarkStart w:id="131" w:name="_Toc1442"/>
      <w:bookmarkStart w:id="132" w:name="_Toc13888"/>
      <w:r>
        <w:rPr>
          <w:rFonts w:hint="eastAsia" w:ascii="黑体" w:hAnsi="黑体"/>
          <w:color w:val="auto"/>
          <w:highlight w:val="none"/>
        </w:rPr>
        <w:t>8  结构设计</w:t>
      </w:r>
      <w:bookmarkEnd w:id="129"/>
      <w:bookmarkEnd w:id="130"/>
      <w:bookmarkEnd w:id="131"/>
      <w:bookmarkEnd w:id="132"/>
    </w:p>
    <w:p w14:paraId="559FDC75">
      <w:pPr>
        <w:pStyle w:val="34"/>
        <w:spacing w:before="156" w:beforeLines="50" w:after="156" w:afterLines="50" w:line="400" w:lineRule="exact"/>
        <w:outlineLvl w:val="2"/>
        <w:rPr>
          <w:rFonts w:ascii="黑体" w:hAnsi="黑体" w:cs="黑体"/>
          <w:color w:val="auto"/>
          <w:sz w:val="21"/>
          <w:szCs w:val="21"/>
          <w:highlight w:val="none"/>
        </w:rPr>
      </w:pPr>
      <w:bookmarkStart w:id="133" w:name="_Toc25617"/>
      <w:bookmarkStart w:id="134" w:name="_Toc165020572"/>
      <w:bookmarkStart w:id="135" w:name="_Toc597"/>
      <w:bookmarkStart w:id="136" w:name="_Toc9461"/>
      <w:r>
        <w:rPr>
          <w:rFonts w:hint="eastAsia" w:ascii="黑体" w:hAnsi="黑体" w:cs="黑体"/>
          <w:color w:val="auto"/>
          <w:sz w:val="21"/>
          <w:szCs w:val="21"/>
          <w:highlight w:val="none"/>
        </w:rPr>
        <w:t>8.1</w:t>
      </w:r>
      <w:r>
        <w:rPr>
          <w:rFonts w:hint="eastAsia" w:ascii="黑体" w:hAnsi="黑体" w:cs="黑体"/>
          <w:color w:val="auto"/>
          <w:sz w:val="21"/>
          <w:szCs w:val="21"/>
          <w:highlight w:val="none"/>
          <w:lang w:val="en-US" w:eastAsia="zh-CN"/>
        </w:rPr>
        <w:t xml:space="preserve"> </w:t>
      </w:r>
      <w:r>
        <w:rPr>
          <w:rFonts w:hint="eastAsia" w:ascii="黑体" w:hAnsi="黑体" w:cs="黑体"/>
          <w:color w:val="auto"/>
          <w:sz w:val="21"/>
          <w:szCs w:val="21"/>
          <w:highlight w:val="none"/>
        </w:rPr>
        <w:t>一般规定</w:t>
      </w:r>
      <w:bookmarkEnd w:id="133"/>
      <w:bookmarkEnd w:id="134"/>
      <w:bookmarkEnd w:id="135"/>
      <w:bookmarkEnd w:id="136"/>
    </w:p>
    <w:p w14:paraId="70D94E0A">
      <w:pPr>
        <w:rPr>
          <w:rFonts w:ascii="Times New Roman" w:hAnsi="Times New Roman"/>
          <w:color w:val="auto"/>
          <w:highlight w:val="none"/>
        </w:rPr>
      </w:pPr>
      <w:r>
        <w:rPr>
          <w:rFonts w:hint="eastAsia" w:ascii="黑体" w:hAnsi="黑体" w:cs="黑体"/>
          <w:b/>
          <w:color w:val="auto"/>
          <w:highlight w:val="none"/>
        </w:rPr>
        <w:t>8.1</w:t>
      </w:r>
      <w:r>
        <w:rPr>
          <w:rFonts w:ascii="黑体" w:hAnsi="黑体" w:cs="黑体"/>
          <w:b/>
          <w:color w:val="auto"/>
          <w:highlight w:val="none"/>
        </w:rPr>
        <w:t>.</w:t>
      </w:r>
      <w:r>
        <w:rPr>
          <w:rFonts w:hint="eastAsia" w:ascii="黑体" w:hAnsi="黑体" w:eastAsia="黑体"/>
          <w:b/>
          <w:color w:val="auto"/>
          <w:highlight w:val="none"/>
        </w:rPr>
        <w:t>1</w:t>
      </w:r>
      <w:r>
        <w:rPr>
          <w:rFonts w:ascii="黑体" w:hAnsi="黑体" w:eastAsia="黑体"/>
          <w:b/>
          <w:color w:val="auto"/>
          <w:highlight w:val="none"/>
        </w:rPr>
        <w:t xml:space="preserve"> </w:t>
      </w:r>
      <w:r>
        <w:rPr>
          <w:rFonts w:hint="eastAsia" w:ascii="Times New Roman" w:hAnsi="Times New Roman"/>
          <w:color w:val="auto"/>
          <w:highlight w:val="none"/>
        </w:rPr>
        <w:t>小型综合管廊土建工程设计应采用以概率理论为基础的极限状态设计方法，应以可靠指标度量结构构件的可靠度。除验算整体稳定外，均应采用含分项系数的设计表达式进行设计。</w:t>
      </w:r>
    </w:p>
    <w:p w14:paraId="5B93D828">
      <w:pPr>
        <w:rPr>
          <w:rFonts w:ascii="Times New Roman" w:hAnsi="Times New Roman"/>
          <w:color w:val="auto"/>
          <w:highlight w:val="none"/>
        </w:rPr>
      </w:pPr>
      <w:r>
        <w:rPr>
          <w:rFonts w:hint="eastAsia" w:ascii="黑体" w:hAnsi="黑体" w:cs="黑体"/>
          <w:b/>
          <w:color w:val="auto"/>
          <w:highlight w:val="none"/>
        </w:rPr>
        <w:t>8.1</w:t>
      </w:r>
      <w:r>
        <w:rPr>
          <w:rFonts w:ascii="黑体" w:hAnsi="黑体" w:cs="黑体"/>
          <w:b/>
          <w:color w:val="auto"/>
          <w:highlight w:val="none"/>
        </w:rPr>
        <w:t xml:space="preserve">.2 </w:t>
      </w:r>
      <w:r>
        <w:rPr>
          <w:rFonts w:hint="eastAsia" w:ascii="Times New Roman" w:hAnsi="Times New Roman"/>
          <w:color w:val="auto"/>
          <w:highlight w:val="none"/>
        </w:rPr>
        <w:t>小型综合管廊结构设计应对承载能力极限状态和正常使用极限状态进行计算。</w:t>
      </w:r>
    </w:p>
    <w:p w14:paraId="51D8608E">
      <w:pPr>
        <w:rPr>
          <w:rFonts w:ascii="Times New Roman" w:hAnsi="Times New Roman"/>
          <w:color w:val="auto"/>
          <w:highlight w:val="none"/>
        </w:rPr>
      </w:pPr>
      <w:r>
        <w:rPr>
          <w:rFonts w:hint="eastAsia" w:ascii="黑体" w:hAnsi="黑体" w:cs="黑体"/>
          <w:b/>
          <w:color w:val="auto"/>
          <w:highlight w:val="none"/>
        </w:rPr>
        <w:t>8.1</w:t>
      </w:r>
      <w:r>
        <w:rPr>
          <w:rFonts w:ascii="黑体" w:hAnsi="黑体" w:cs="黑体"/>
          <w:b/>
          <w:color w:val="auto"/>
          <w:highlight w:val="none"/>
        </w:rPr>
        <w:t xml:space="preserve">.3 </w:t>
      </w:r>
      <w:r>
        <w:rPr>
          <w:rFonts w:hint="eastAsia" w:ascii="Times New Roman" w:hAnsi="Times New Roman"/>
          <w:color w:val="auto"/>
          <w:highlight w:val="none"/>
        </w:rPr>
        <w:t>小型综合管廊工程的结构</w:t>
      </w:r>
      <w:r>
        <w:rPr>
          <w:rFonts w:hint="eastAsia" w:ascii="Times New Roman" w:hAnsi="Times New Roman"/>
          <w:color w:val="auto"/>
          <w:highlight w:val="none"/>
          <w:lang w:val="en-US" w:eastAsia="zh-CN"/>
        </w:rPr>
        <w:t>设计</w:t>
      </w:r>
      <w:r>
        <w:rPr>
          <w:rFonts w:hint="eastAsia" w:ascii="Times New Roman" w:hAnsi="Times New Roman"/>
          <w:color w:val="auto"/>
          <w:highlight w:val="none"/>
        </w:rPr>
        <w:t>工作年限</w:t>
      </w:r>
      <w:r>
        <w:rPr>
          <w:rFonts w:hint="eastAsia"/>
          <w:color w:val="auto"/>
          <w:highlight w:val="none"/>
          <w:lang w:val="en-US" w:eastAsia="zh-CN"/>
        </w:rPr>
        <w:t>应</w:t>
      </w:r>
      <w:r>
        <w:rPr>
          <w:color w:val="auto"/>
          <w:highlight w:val="none"/>
        </w:rPr>
        <w:t>为</w:t>
      </w:r>
      <w:r>
        <w:rPr>
          <w:rFonts w:hint="eastAsia"/>
          <w:color w:val="auto"/>
          <w:highlight w:val="none"/>
          <w:lang w:val="en-US" w:eastAsia="zh-CN"/>
        </w:rPr>
        <w:t>10</w:t>
      </w:r>
      <w:r>
        <w:rPr>
          <w:color w:val="auto"/>
          <w:highlight w:val="none"/>
        </w:rPr>
        <w:t>0年。</w:t>
      </w:r>
      <w:r>
        <w:rPr>
          <w:rFonts w:hint="eastAsia" w:ascii="Times New Roman" w:hAnsi="Times New Roman"/>
          <w:color w:val="auto"/>
          <w:highlight w:val="none"/>
        </w:rPr>
        <w:t xml:space="preserve"> </w:t>
      </w:r>
    </w:p>
    <w:p w14:paraId="74FD023F">
      <w:pPr>
        <w:rPr>
          <w:color w:val="auto"/>
          <w:highlight w:val="none"/>
        </w:rPr>
      </w:pPr>
      <w:r>
        <w:rPr>
          <w:rFonts w:hint="eastAsia"/>
          <w:color w:val="auto"/>
          <w:highlight w:val="none"/>
        </w:rPr>
        <w:t>【</w:t>
      </w:r>
      <w:r>
        <w:rPr>
          <w:rFonts w:hint="eastAsia"/>
          <w:b/>
          <w:bCs/>
          <w:color w:val="auto"/>
          <w:highlight w:val="none"/>
        </w:rPr>
        <w:t>条文说明：</w:t>
      </w:r>
      <w:r>
        <w:rPr>
          <w:rFonts w:hint="eastAsia"/>
          <w:color w:val="auto"/>
          <w:highlight w:val="none"/>
        </w:rPr>
        <w:t>根据《工程结构通用规范》GB55001</w:t>
      </w:r>
      <w:r>
        <w:rPr>
          <w:color w:val="auto"/>
          <w:highlight w:val="none"/>
        </w:rPr>
        <w:t>-2021</w:t>
      </w:r>
      <w:r>
        <w:rPr>
          <w:rFonts w:hint="eastAsia"/>
          <w:color w:val="auto"/>
          <w:highlight w:val="none"/>
        </w:rPr>
        <w:t>、《特殊设施工程项目规范》GB55028规定，普通房屋和构筑物的结构设计工作年限为50年，标志性建筑和特别重要的建筑结构，设计工作年限按照100年考虑。综合管廊作为城市生命线工程，根据综合管廊的分类，干线综合管廊、支线综合管廊的结构设计工作年限应为100年。小型综合管廊容纳小规模管网或末端配给工程管线，基本也是城市生命线管道、缆线等，</w:t>
      </w:r>
      <w:r>
        <w:rPr>
          <w:rFonts w:hint="eastAsia" w:ascii="Times New Roman" w:hAnsi="Times New Roman"/>
          <w:color w:val="auto"/>
          <w:highlight w:val="none"/>
        </w:rPr>
        <w:t>小型综合管廊结构设计工作年限与干线、支线保持一致，为100年</w:t>
      </w:r>
      <w:r>
        <w:rPr>
          <w:rFonts w:hint="eastAsia"/>
          <w:color w:val="auto"/>
          <w:highlight w:val="none"/>
        </w:rPr>
        <w:t>】</w:t>
      </w:r>
    </w:p>
    <w:p w14:paraId="294C22D9">
      <w:pPr>
        <w:rPr>
          <w:rFonts w:ascii="Times New Roman" w:hAnsi="Times New Roman"/>
          <w:color w:val="auto"/>
          <w:highlight w:val="none"/>
        </w:rPr>
      </w:pPr>
      <w:r>
        <w:rPr>
          <w:rFonts w:hint="eastAsia" w:ascii="黑体" w:hAnsi="黑体" w:cs="黑体"/>
          <w:b/>
          <w:color w:val="auto"/>
          <w:highlight w:val="none"/>
        </w:rPr>
        <w:t>8.1</w:t>
      </w:r>
      <w:r>
        <w:rPr>
          <w:rFonts w:ascii="黑体" w:hAnsi="黑体" w:cs="黑体"/>
          <w:b/>
          <w:color w:val="auto"/>
          <w:highlight w:val="none"/>
        </w:rPr>
        <w:t xml:space="preserve">.4 </w:t>
      </w:r>
      <w:r>
        <w:rPr>
          <w:rFonts w:hint="eastAsia" w:ascii="Times New Roman" w:hAnsi="Times New Roman"/>
          <w:color w:val="auto"/>
          <w:highlight w:val="none"/>
        </w:rPr>
        <w:t>小型综合管廊结构应根据设计工作年限和环境类别进行耐久性设计，并应符合现行国家标准《混凝土结构耐久性设计</w:t>
      </w:r>
      <w:r>
        <w:rPr>
          <w:rFonts w:hint="eastAsia" w:ascii="Times New Roman" w:hAnsi="Times New Roman"/>
          <w:color w:val="auto"/>
          <w:highlight w:val="none"/>
          <w:lang w:val="en-US" w:eastAsia="zh-CN"/>
        </w:rPr>
        <w:t>标准</w:t>
      </w:r>
      <w:r>
        <w:rPr>
          <w:rFonts w:hint="eastAsia" w:ascii="Times New Roman" w:hAnsi="Times New Roman"/>
          <w:color w:val="auto"/>
          <w:highlight w:val="none"/>
        </w:rPr>
        <w:t>》GB/T 50476的有关规定。</w:t>
      </w:r>
    </w:p>
    <w:p w14:paraId="68E1B153">
      <w:pPr>
        <w:rPr>
          <w:rFonts w:ascii="Times New Roman" w:hAnsi="Times New Roman"/>
          <w:color w:val="auto"/>
          <w:highlight w:val="none"/>
        </w:rPr>
      </w:pPr>
      <w:r>
        <w:rPr>
          <w:rFonts w:hint="eastAsia" w:ascii="黑体" w:hAnsi="黑体" w:cs="黑体"/>
          <w:b/>
          <w:color w:val="auto"/>
          <w:highlight w:val="none"/>
        </w:rPr>
        <w:t>8.1</w:t>
      </w:r>
      <w:r>
        <w:rPr>
          <w:rFonts w:ascii="黑体" w:hAnsi="黑体" w:cs="黑体"/>
          <w:b/>
          <w:color w:val="auto"/>
          <w:highlight w:val="none"/>
        </w:rPr>
        <w:t xml:space="preserve">.5 </w:t>
      </w:r>
      <w:r>
        <w:rPr>
          <w:rFonts w:hint="eastAsia" w:ascii="Times New Roman" w:hAnsi="Times New Roman"/>
          <w:color w:val="auto"/>
          <w:highlight w:val="none"/>
        </w:rPr>
        <w:t>小型综合管廊工程应按乙类建筑物进行抗震设计，并应满足国家现行标准的有关规定。</w:t>
      </w:r>
    </w:p>
    <w:p w14:paraId="355CBCD5">
      <w:pPr>
        <w:rPr>
          <w:rFonts w:ascii="Times New Roman" w:hAnsi="Times New Roman"/>
          <w:color w:val="auto"/>
          <w:highlight w:val="none"/>
        </w:rPr>
      </w:pPr>
      <w:r>
        <w:rPr>
          <w:rFonts w:hint="eastAsia" w:ascii="黑体" w:hAnsi="黑体" w:cs="黑体"/>
          <w:b/>
          <w:color w:val="auto"/>
          <w:highlight w:val="none"/>
        </w:rPr>
        <w:t>8.1</w:t>
      </w:r>
      <w:r>
        <w:rPr>
          <w:rFonts w:ascii="黑体" w:hAnsi="黑体" w:cs="黑体"/>
          <w:b/>
          <w:color w:val="auto"/>
          <w:highlight w:val="none"/>
        </w:rPr>
        <w:t xml:space="preserve">.6 </w:t>
      </w:r>
      <w:r>
        <w:rPr>
          <w:rFonts w:hint="eastAsia" w:ascii="Times New Roman" w:hAnsi="Times New Roman"/>
          <w:color w:val="auto"/>
          <w:highlight w:val="none"/>
        </w:rPr>
        <w:t>小型综合管廊的结构安全等级应为一级，结构中各类构件的安全等级宜与整个结构的安全等级相同。</w:t>
      </w:r>
    </w:p>
    <w:p w14:paraId="41C4FEA3">
      <w:pPr>
        <w:rPr>
          <w:rFonts w:ascii="Times New Roman" w:hAnsi="Times New Roman"/>
          <w:color w:val="auto"/>
          <w:highlight w:val="none"/>
        </w:rPr>
      </w:pPr>
      <w:r>
        <w:rPr>
          <w:rFonts w:hint="eastAsia" w:ascii="黑体" w:hAnsi="黑体" w:cs="黑体"/>
          <w:b/>
          <w:color w:val="auto"/>
          <w:highlight w:val="none"/>
        </w:rPr>
        <w:t>8.1</w:t>
      </w:r>
      <w:r>
        <w:rPr>
          <w:rFonts w:ascii="黑体" w:hAnsi="黑体" w:cs="黑体"/>
          <w:b/>
          <w:color w:val="auto"/>
          <w:highlight w:val="none"/>
        </w:rPr>
        <w:t xml:space="preserve">.7 </w:t>
      </w:r>
      <w:r>
        <w:rPr>
          <w:rFonts w:hint="eastAsia" w:ascii="Times New Roman" w:hAnsi="Times New Roman"/>
          <w:color w:val="auto"/>
          <w:highlight w:val="none"/>
        </w:rPr>
        <w:t>小型综合管廊结构构件的裂缝控制等级应为三级，结构构件的最大裂缝宽度限值应小于或等于0.2mm，且不得贯通。</w:t>
      </w:r>
    </w:p>
    <w:p w14:paraId="3D698317">
      <w:pPr>
        <w:rPr>
          <w:rFonts w:ascii="Times New Roman" w:hAnsi="Times New Roman"/>
          <w:color w:val="auto"/>
          <w:highlight w:val="none"/>
        </w:rPr>
      </w:pPr>
      <w:r>
        <w:rPr>
          <w:rFonts w:hint="eastAsia" w:ascii="黑体" w:hAnsi="黑体" w:cs="黑体"/>
          <w:b/>
          <w:color w:val="auto"/>
          <w:highlight w:val="none"/>
        </w:rPr>
        <w:t>8.1</w:t>
      </w:r>
      <w:r>
        <w:rPr>
          <w:rFonts w:ascii="黑体" w:hAnsi="黑体" w:cs="黑体"/>
          <w:b/>
          <w:color w:val="auto"/>
          <w:highlight w:val="none"/>
        </w:rPr>
        <w:t xml:space="preserve">.8 </w:t>
      </w:r>
      <w:r>
        <w:rPr>
          <w:rFonts w:hint="eastAsia" w:ascii="Times New Roman" w:hAnsi="Times New Roman"/>
          <w:color w:val="auto"/>
          <w:highlight w:val="none"/>
        </w:rPr>
        <w:t>小型综合管廊应根据气候条件、水文地质状况、结构特点、施工方法和使用条件等因素进行防水设计。</w:t>
      </w:r>
    </w:p>
    <w:p w14:paraId="13D6D4F6">
      <w:pPr>
        <w:rPr>
          <w:rFonts w:ascii="Times New Roman" w:hAnsi="Times New Roman"/>
          <w:color w:val="auto"/>
          <w:highlight w:val="none"/>
        </w:rPr>
      </w:pPr>
      <w:r>
        <w:rPr>
          <w:rFonts w:hint="eastAsia" w:ascii="黑体" w:hAnsi="黑体" w:cs="黑体"/>
          <w:b/>
          <w:color w:val="auto"/>
          <w:highlight w:val="none"/>
        </w:rPr>
        <w:t>8.1</w:t>
      </w:r>
      <w:r>
        <w:rPr>
          <w:rFonts w:ascii="黑体" w:hAnsi="黑体" w:cs="黑体"/>
          <w:b/>
          <w:color w:val="auto"/>
          <w:highlight w:val="none"/>
        </w:rPr>
        <w:t xml:space="preserve">.9 </w:t>
      </w:r>
      <w:r>
        <w:rPr>
          <w:rFonts w:hint="eastAsia" w:ascii="Times New Roman" w:hAnsi="Times New Roman"/>
          <w:color w:val="auto"/>
          <w:highlight w:val="none"/>
        </w:rPr>
        <w:t>对埋设在历史最高水位以下的综合管廊，应根据设计条件计算结构的抗浮稳定。计算时不应计入管廊内管线和设备的自重，其他各项作用应取标准值，并应满足抗浮稳定性抗力系数不低于</w:t>
      </w:r>
      <w:r>
        <w:rPr>
          <w:rFonts w:ascii="Times New Roman" w:hAnsi="Times New Roman"/>
          <w:color w:val="auto"/>
          <w:highlight w:val="none"/>
        </w:rPr>
        <w:t>1.05</w:t>
      </w:r>
      <w:r>
        <w:rPr>
          <w:rFonts w:hint="eastAsia" w:ascii="Times New Roman" w:hAnsi="Times New Roman"/>
          <w:color w:val="auto"/>
          <w:highlight w:val="none"/>
        </w:rPr>
        <w:t>。</w:t>
      </w:r>
    </w:p>
    <w:p w14:paraId="33B49F69">
      <w:pPr>
        <w:rPr>
          <w:rFonts w:ascii="Times New Roman" w:hAnsi="Times New Roman"/>
          <w:color w:val="auto"/>
          <w:highlight w:val="none"/>
        </w:rPr>
      </w:pPr>
      <w:r>
        <w:rPr>
          <w:rFonts w:hint="eastAsia" w:ascii="黑体" w:hAnsi="黑体" w:cs="黑体"/>
          <w:b/>
          <w:color w:val="auto"/>
          <w:highlight w:val="none"/>
        </w:rPr>
        <w:t>8.1</w:t>
      </w:r>
      <w:r>
        <w:rPr>
          <w:rFonts w:ascii="黑体" w:hAnsi="黑体" w:cs="黑体"/>
          <w:b/>
          <w:color w:val="auto"/>
          <w:highlight w:val="none"/>
        </w:rPr>
        <w:t xml:space="preserve">.10 </w:t>
      </w:r>
      <w:r>
        <w:rPr>
          <w:rFonts w:hint="eastAsia" w:ascii="Times New Roman" w:hAnsi="Times New Roman"/>
          <w:color w:val="auto"/>
          <w:highlight w:val="none"/>
        </w:rPr>
        <w:t>小型预制综合管廊纵向节段的长度应根据节段吊装、运输等施工过程的限制条件综合确定。</w:t>
      </w:r>
    </w:p>
    <w:p w14:paraId="4271350D">
      <w:pPr>
        <w:pStyle w:val="34"/>
        <w:spacing w:before="156" w:beforeLines="50" w:after="156" w:afterLines="50" w:line="400" w:lineRule="exact"/>
        <w:outlineLvl w:val="2"/>
        <w:rPr>
          <w:rFonts w:ascii="黑体" w:hAnsi="黑体" w:cs="黑体"/>
          <w:color w:val="auto"/>
          <w:sz w:val="21"/>
          <w:szCs w:val="21"/>
          <w:highlight w:val="none"/>
        </w:rPr>
      </w:pPr>
      <w:bookmarkStart w:id="137" w:name="_Toc23618"/>
      <w:bookmarkStart w:id="138" w:name="_Toc5027"/>
      <w:bookmarkStart w:id="139" w:name="_Toc6968"/>
      <w:r>
        <w:rPr>
          <w:rFonts w:hint="eastAsia" w:ascii="黑体" w:hAnsi="黑体" w:cs="黑体"/>
          <w:color w:val="auto"/>
          <w:sz w:val="21"/>
          <w:szCs w:val="21"/>
          <w:highlight w:val="none"/>
        </w:rPr>
        <w:t xml:space="preserve">8.2 </w:t>
      </w:r>
      <w:r>
        <w:rPr>
          <w:rFonts w:ascii="黑体" w:hAnsi="黑体" w:cs="黑体"/>
          <w:color w:val="auto"/>
          <w:sz w:val="21"/>
          <w:szCs w:val="21"/>
          <w:highlight w:val="none"/>
        </w:rPr>
        <w:t>材</w:t>
      </w:r>
      <w:r>
        <w:rPr>
          <w:rFonts w:ascii="Times New Roman" w:hAnsi="Times New Roman"/>
          <w:color w:val="auto"/>
          <w:sz w:val="21"/>
          <w:szCs w:val="21"/>
          <w:highlight w:val="none"/>
        </w:rPr>
        <w:t>料</w:t>
      </w:r>
      <w:bookmarkEnd w:id="137"/>
      <w:bookmarkEnd w:id="138"/>
      <w:bookmarkEnd w:id="139"/>
    </w:p>
    <w:p w14:paraId="0C0D106A">
      <w:pPr>
        <w:rPr>
          <w:rFonts w:ascii="Times New Roman" w:hAnsi="Times New Roman"/>
          <w:color w:val="auto"/>
          <w:highlight w:val="none"/>
        </w:rPr>
      </w:pPr>
      <w:r>
        <w:rPr>
          <w:rFonts w:hint="eastAsia" w:ascii="黑体" w:hAnsi="黑体" w:cs="黑体"/>
          <w:b/>
          <w:color w:val="auto"/>
          <w:highlight w:val="none"/>
        </w:rPr>
        <w:t>8.</w:t>
      </w:r>
      <w:r>
        <w:rPr>
          <w:rFonts w:ascii="黑体" w:hAnsi="黑体" w:cs="黑体"/>
          <w:b/>
          <w:color w:val="auto"/>
          <w:highlight w:val="none"/>
        </w:rPr>
        <w:t xml:space="preserve">2.1 </w:t>
      </w:r>
      <w:r>
        <w:rPr>
          <w:rFonts w:hint="eastAsia" w:ascii="Times New Roman" w:hAnsi="Times New Roman"/>
          <w:color w:val="auto"/>
          <w:highlight w:val="none"/>
        </w:rPr>
        <w:t>小型综合管廊工程中所使用的材料应根据结构类型、受力条件、使用要求和所处环境等选用，并应考虑耐久性、可靠性和经济性。主要材料宜采用高性能混凝土、高强钢筋。</w:t>
      </w:r>
    </w:p>
    <w:p w14:paraId="789B9AFB">
      <w:pPr>
        <w:rPr>
          <w:rFonts w:hint="eastAsia" w:ascii="Times New Roman" w:hAnsi="Times New Roman"/>
          <w:color w:val="auto"/>
          <w:highlight w:val="none"/>
        </w:rPr>
      </w:pPr>
      <w:r>
        <w:rPr>
          <w:rFonts w:hint="eastAsia" w:ascii="黑体" w:hAnsi="黑体" w:cs="黑体"/>
          <w:b/>
          <w:color w:val="auto"/>
          <w:highlight w:val="none"/>
        </w:rPr>
        <w:t>8.</w:t>
      </w:r>
      <w:r>
        <w:rPr>
          <w:rFonts w:ascii="黑体" w:hAnsi="黑体" w:cs="黑体"/>
          <w:b/>
          <w:color w:val="auto"/>
          <w:highlight w:val="none"/>
        </w:rPr>
        <w:t xml:space="preserve">2.2 </w:t>
      </w:r>
      <w:r>
        <w:rPr>
          <w:rFonts w:hint="eastAsia" w:ascii="Times New Roman" w:hAnsi="Times New Roman"/>
          <w:color w:val="auto"/>
          <w:highlight w:val="none"/>
        </w:rPr>
        <w:t>钢筋混凝土结构的混凝土强度等级不应低于C30。</w:t>
      </w:r>
    </w:p>
    <w:p w14:paraId="3BFB3AC8">
      <w:pPr>
        <w:rPr>
          <w:rFonts w:ascii="Times New Roman" w:hAnsi="Times New Roman"/>
          <w:color w:val="auto"/>
          <w:highlight w:val="none"/>
        </w:rPr>
      </w:pPr>
      <w:r>
        <w:rPr>
          <w:rFonts w:hint="eastAsia" w:ascii="黑体" w:hAnsi="黑体" w:cs="黑体"/>
          <w:b/>
          <w:color w:val="auto"/>
          <w:highlight w:val="none"/>
        </w:rPr>
        <w:t>8.</w:t>
      </w:r>
      <w:r>
        <w:rPr>
          <w:rFonts w:ascii="黑体" w:hAnsi="黑体" w:cs="黑体"/>
          <w:b/>
          <w:color w:val="auto"/>
          <w:highlight w:val="none"/>
        </w:rPr>
        <w:t xml:space="preserve">2.3 </w:t>
      </w:r>
      <w:r>
        <w:rPr>
          <w:rFonts w:hint="eastAsia" w:ascii="Times New Roman" w:hAnsi="Times New Roman"/>
          <w:color w:val="auto"/>
          <w:highlight w:val="none"/>
        </w:rPr>
        <w:t>地下工程部分宜采用自防水混凝土，当小型综合管廊工程埋深小于10m时，抗渗等级不应低于P6，当管廊埋深大于10m、小于或等于20m时，抗渗等级不应低于P8。</w:t>
      </w:r>
    </w:p>
    <w:p w14:paraId="300AE732">
      <w:pPr>
        <w:rPr>
          <w:rFonts w:ascii="Times New Roman" w:hAnsi="Times New Roman"/>
          <w:color w:val="auto"/>
          <w:highlight w:val="none"/>
        </w:rPr>
      </w:pPr>
      <w:r>
        <w:rPr>
          <w:rFonts w:hint="eastAsia" w:ascii="黑体" w:hAnsi="黑体" w:cs="黑体"/>
          <w:b/>
          <w:color w:val="auto"/>
          <w:highlight w:val="none"/>
        </w:rPr>
        <w:t>8.</w:t>
      </w:r>
      <w:r>
        <w:rPr>
          <w:rFonts w:ascii="黑体" w:hAnsi="黑体" w:cs="黑体"/>
          <w:b/>
          <w:color w:val="auto"/>
          <w:highlight w:val="none"/>
        </w:rPr>
        <w:t xml:space="preserve">2.4 </w:t>
      </w:r>
      <w:r>
        <w:rPr>
          <w:rFonts w:hint="eastAsia" w:ascii="Times New Roman" w:hAnsi="Times New Roman"/>
          <w:color w:val="auto"/>
          <w:highlight w:val="none"/>
        </w:rPr>
        <w:t>小型综合管廊结构混凝土及钢筋技术指标应符合现行国家标准《混凝土结构通用规范》</w:t>
      </w:r>
      <w:r>
        <w:rPr>
          <w:rFonts w:ascii="Times New Roman" w:hAnsi="Times New Roman"/>
          <w:color w:val="auto"/>
          <w:highlight w:val="none"/>
        </w:rPr>
        <w:t>GB 55008</w:t>
      </w:r>
      <w:r>
        <w:rPr>
          <w:rFonts w:hint="eastAsia" w:ascii="Times New Roman" w:hAnsi="Times New Roman"/>
          <w:color w:val="auto"/>
          <w:highlight w:val="none"/>
        </w:rPr>
        <w:t>和《混凝土结构设计规范》</w:t>
      </w:r>
      <w:r>
        <w:rPr>
          <w:rFonts w:ascii="Times New Roman" w:hAnsi="Times New Roman"/>
          <w:color w:val="auto"/>
          <w:highlight w:val="none"/>
        </w:rPr>
        <w:t>GB50010</w:t>
      </w:r>
      <w:r>
        <w:rPr>
          <w:rFonts w:hint="eastAsia" w:ascii="Times New Roman" w:hAnsi="Times New Roman"/>
          <w:color w:val="auto"/>
          <w:highlight w:val="none"/>
        </w:rPr>
        <w:t>、</w:t>
      </w:r>
      <w:r>
        <w:rPr>
          <w:rFonts w:hint="eastAsia" w:ascii="宋体" w:hAnsi="宋体"/>
          <w:color w:val="auto"/>
          <w:highlight w:val="none"/>
        </w:rPr>
        <w:t>《钢筋混凝土用钢第1部分:热轧光圆钢筋》GB1499.1、钢筋混凝土用钢第2部分:热轧带肋钢筋》GB1499.2和《钢筋混凝土用余热处理钢筋》GB13014</w:t>
      </w:r>
      <w:r>
        <w:rPr>
          <w:rFonts w:hint="eastAsia" w:ascii="Times New Roman" w:hAnsi="Times New Roman"/>
          <w:color w:val="auto"/>
          <w:highlight w:val="none"/>
        </w:rPr>
        <w:t>的相关规定，其余材料应满足相应</w:t>
      </w:r>
      <w:r>
        <w:rPr>
          <w:rFonts w:hint="eastAsia" w:ascii="宋体" w:hAnsi="宋体"/>
          <w:color w:val="auto"/>
          <w:highlight w:val="none"/>
        </w:rPr>
        <w:t>现行国家标准</w:t>
      </w:r>
      <w:r>
        <w:rPr>
          <w:rFonts w:hint="eastAsia" w:ascii="Times New Roman" w:hAnsi="Times New Roman"/>
          <w:color w:val="auto"/>
          <w:highlight w:val="none"/>
        </w:rPr>
        <w:t>。</w:t>
      </w:r>
    </w:p>
    <w:p w14:paraId="2D542927">
      <w:pPr>
        <w:rPr>
          <w:rFonts w:ascii="Times New Roman" w:hAnsi="Times New Roman"/>
          <w:color w:val="auto"/>
          <w:highlight w:val="none"/>
        </w:rPr>
      </w:pPr>
      <w:r>
        <w:rPr>
          <w:rFonts w:hint="eastAsia" w:ascii="黑体" w:hAnsi="黑体" w:cs="黑体"/>
          <w:b/>
          <w:color w:val="auto"/>
          <w:highlight w:val="none"/>
        </w:rPr>
        <w:t>8.</w:t>
      </w:r>
      <w:r>
        <w:rPr>
          <w:rFonts w:ascii="黑体" w:hAnsi="黑体" w:cs="黑体"/>
          <w:b/>
          <w:color w:val="auto"/>
          <w:highlight w:val="none"/>
        </w:rPr>
        <w:t>2.5</w:t>
      </w:r>
      <w:r>
        <w:rPr>
          <w:rFonts w:hint="eastAsia" w:ascii="Times New Roman" w:hAnsi="Times New Roman"/>
          <w:color w:val="auto"/>
          <w:highlight w:val="none"/>
        </w:rPr>
        <w:t xml:space="preserve"> 预制构件的吊环应采用未经冷加工的</w:t>
      </w:r>
      <w:r>
        <w:rPr>
          <w:rFonts w:ascii="Times New Roman" w:hAnsi="Times New Roman"/>
          <w:color w:val="auto"/>
          <w:highlight w:val="none"/>
        </w:rPr>
        <w:t>HPB300</w:t>
      </w:r>
      <w:r>
        <w:rPr>
          <w:rFonts w:hint="eastAsia" w:ascii="Times New Roman" w:hAnsi="Times New Roman"/>
          <w:color w:val="auto"/>
          <w:highlight w:val="none"/>
        </w:rPr>
        <w:t>级钢筋制作。</w:t>
      </w:r>
    </w:p>
    <w:p w14:paraId="10BB9BA8">
      <w:pPr>
        <w:rPr>
          <w:rFonts w:ascii="Times New Roman" w:hAnsi="Times New Roman"/>
          <w:color w:val="auto"/>
          <w:highlight w:val="none"/>
        </w:rPr>
      </w:pPr>
      <w:r>
        <w:rPr>
          <w:rFonts w:hint="eastAsia" w:ascii="黑体" w:hAnsi="黑体" w:cs="黑体"/>
          <w:b/>
          <w:color w:val="auto"/>
          <w:highlight w:val="none"/>
        </w:rPr>
        <w:t>8.</w:t>
      </w:r>
      <w:r>
        <w:rPr>
          <w:rFonts w:ascii="黑体" w:hAnsi="黑体" w:cs="黑体"/>
          <w:b/>
          <w:color w:val="auto"/>
          <w:highlight w:val="none"/>
        </w:rPr>
        <w:t xml:space="preserve">2.6 </w:t>
      </w:r>
      <w:r>
        <w:rPr>
          <w:rFonts w:hint="eastAsia" w:ascii="Times New Roman" w:hAnsi="Times New Roman"/>
          <w:color w:val="auto"/>
          <w:highlight w:val="none"/>
        </w:rPr>
        <w:t>预埋钢板宜采用</w:t>
      </w:r>
      <w:r>
        <w:rPr>
          <w:rFonts w:ascii="Times New Roman" w:hAnsi="Times New Roman"/>
          <w:color w:val="auto"/>
          <w:highlight w:val="none"/>
        </w:rPr>
        <w:t>Q235B</w:t>
      </w:r>
      <w:r>
        <w:rPr>
          <w:rFonts w:hint="eastAsia" w:ascii="Times New Roman" w:hAnsi="Times New Roman"/>
          <w:color w:val="auto"/>
          <w:highlight w:val="none"/>
        </w:rPr>
        <w:t>钢、</w:t>
      </w:r>
      <w:r>
        <w:rPr>
          <w:rFonts w:ascii="Times New Roman" w:hAnsi="Times New Roman"/>
          <w:color w:val="auto"/>
          <w:highlight w:val="none"/>
        </w:rPr>
        <w:t>Q355B</w:t>
      </w:r>
      <w:r>
        <w:rPr>
          <w:rFonts w:hint="eastAsia" w:ascii="Times New Roman" w:hAnsi="Times New Roman"/>
          <w:color w:val="auto"/>
          <w:highlight w:val="none"/>
        </w:rPr>
        <w:t>钢，其质量应符合现行国家标准《碳素结构钢》</w:t>
      </w:r>
      <w:r>
        <w:rPr>
          <w:rFonts w:ascii="Times New Roman" w:hAnsi="Times New Roman"/>
          <w:color w:val="auto"/>
          <w:highlight w:val="none"/>
        </w:rPr>
        <w:t>GB/T 700</w:t>
      </w:r>
      <w:r>
        <w:rPr>
          <w:rFonts w:hint="eastAsia" w:ascii="Times New Roman" w:hAnsi="Times New Roman"/>
          <w:color w:val="auto"/>
          <w:highlight w:val="none"/>
        </w:rPr>
        <w:t>的有关规定。</w:t>
      </w:r>
    </w:p>
    <w:p w14:paraId="084F3162">
      <w:pPr>
        <w:pStyle w:val="34"/>
        <w:spacing w:before="156" w:beforeLines="50" w:after="156" w:afterLines="50" w:line="400" w:lineRule="exact"/>
        <w:outlineLvl w:val="2"/>
        <w:rPr>
          <w:rFonts w:ascii="黑体" w:hAnsi="黑体" w:cs="黑体"/>
          <w:color w:val="auto"/>
          <w:sz w:val="21"/>
          <w:szCs w:val="21"/>
          <w:highlight w:val="none"/>
        </w:rPr>
      </w:pPr>
      <w:bookmarkStart w:id="140" w:name="_Toc18638"/>
      <w:bookmarkStart w:id="141" w:name="_Toc28434"/>
      <w:bookmarkStart w:id="142" w:name="_Toc27129"/>
      <w:r>
        <w:rPr>
          <w:rFonts w:hint="eastAsia" w:ascii="黑体" w:hAnsi="黑体" w:cs="黑体"/>
          <w:color w:val="auto"/>
          <w:sz w:val="21"/>
          <w:szCs w:val="21"/>
          <w:highlight w:val="none"/>
        </w:rPr>
        <w:t>8</w:t>
      </w:r>
      <w:r>
        <w:rPr>
          <w:rFonts w:ascii="黑体" w:hAnsi="黑体" w:cs="黑体"/>
          <w:color w:val="auto"/>
          <w:sz w:val="21"/>
          <w:szCs w:val="21"/>
          <w:highlight w:val="none"/>
        </w:rPr>
        <w:t>.3 结构上的作用</w:t>
      </w:r>
      <w:bookmarkEnd w:id="140"/>
      <w:bookmarkEnd w:id="141"/>
      <w:bookmarkEnd w:id="142"/>
    </w:p>
    <w:p w14:paraId="61263CAA">
      <w:pPr>
        <w:rPr>
          <w:rFonts w:ascii="Times New Roman" w:hAnsi="Times New Roman"/>
          <w:color w:val="auto"/>
          <w:highlight w:val="none"/>
        </w:rPr>
      </w:pPr>
      <w:r>
        <w:rPr>
          <w:rFonts w:hint="eastAsia" w:ascii="黑体" w:hAnsi="黑体" w:cs="黑体"/>
          <w:b/>
          <w:color w:val="auto"/>
          <w:highlight w:val="none"/>
        </w:rPr>
        <w:t>8</w:t>
      </w:r>
      <w:r>
        <w:rPr>
          <w:rFonts w:ascii="黑体" w:hAnsi="黑体" w:cs="黑体"/>
          <w:b/>
          <w:color w:val="auto"/>
          <w:highlight w:val="none"/>
        </w:rPr>
        <w:t>.3.1</w:t>
      </w:r>
      <w:r>
        <w:rPr>
          <w:rFonts w:hint="eastAsia" w:ascii="Times New Roman" w:hAnsi="Times New Roman"/>
          <w:color w:val="auto"/>
          <w:highlight w:val="none"/>
        </w:rPr>
        <w:t xml:space="preserve"> 小型综合管廊结构上的作用，按性质可分为永久作用、可变作用、偶然作用。</w:t>
      </w:r>
    </w:p>
    <w:p w14:paraId="12F22B37">
      <w:pPr>
        <w:rPr>
          <w:rFonts w:ascii="Times New Roman" w:hAnsi="Times New Roman"/>
          <w:color w:val="auto"/>
          <w:highlight w:val="none"/>
        </w:rPr>
      </w:pPr>
      <w:r>
        <w:rPr>
          <w:rFonts w:hint="eastAsia" w:ascii="黑体" w:hAnsi="黑体" w:cs="黑体"/>
          <w:b/>
          <w:color w:val="auto"/>
          <w:highlight w:val="none"/>
        </w:rPr>
        <w:t>8</w:t>
      </w:r>
      <w:r>
        <w:rPr>
          <w:rFonts w:ascii="黑体" w:hAnsi="黑体" w:cs="黑体"/>
          <w:b/>
          <w:color w:val="auto"/>
          <w:highlight w:val="none"/>
        </w:rPr>
        <w:t>.3.2</w:t>
      </w:r>
      <w:r>
        <w:rPr>
          <w:rFonts w:hint="eastAsia" w:ascii="Times New Roman" w:hAnsi="Times New Roman"/>
          <w:color w:val="auto"/>
          <w:highlight w:val="none"/>
        </w:rPr>
        <w:t xml:space="preserve"> 结构设计时，对不同的作用采用不同的代表值。永久作用采用标准值作为代表值；可变作用应根据设计要求采用标准值、组合值或准永久值。作用的标准值应为设计采用的基本代表值。对于可变荷载组合的取用，应符合下列规定：</w:t>
      </w:r>
    </w:p>
    <w:p w14:paraId="6F708E35">
      <w:pPr>
        <w:ind w:firstLine="420" w:firstLineChars="200"/>
        <w:rPr>
          <w:rFonts w:ascii="Times New Roman" w:hAnsi="Times New Roman"/>
          <w:color w:val="auto"/>
          <w:highlight w:val="none"/>
        </w:rPr>
      </w:pPr>
      <w:r>
        <w:rPr>
          <w:rFonts w:hint="eastAsia" w:ascii="Times New Roman" w:hAnsi="Times New Roman"/>
          <w:color w:val="auto"/>
          <w:highlight w:val="none"/>
        </w:rPr>
        <w:t>1 当结构承受两种或两种以上可变作用时，在承载力极限状态设计或正常使用极限状态按短期效应标准值设计时，对可变作用应取标准值和组合值作为代表值；</w:t>
      </w:r>
    </w:p>
    <w:p w14:paraId="4C0C6E0E">
      <w:pPr>
        <w:ind w:firstLine="420" w:firstLineChars="200"/>
        <w:rPr>
          <w:rFonts w:ascii="Times New Roman" w:hAnsi="Times New Roman"/>
          <w:color w:val="auto"/>
          <w:highlight w:val="none"/>
        </w:rPr>
      </w:pPr>
      <w:r>
        <w:rPr>
          <w:rFonts w:hint="eastAsia" w:ascii="Times New Roman" w:hAnsi="Times New Roman"/>
          <w:color w:val="auto"/>
          <w:highlight w:val="none"/>
        </w:rPr>
        <w:t>2 当正常使用极限状态按长期效应准永久组合设计时，对可变作用应采用准永久值作为代表值。</w:t>
      </w:r>
    </w:p>
    <w:p w14:paraId="13E6F105">
      <w:pPr>
        <w:rPr>
          <w:rFonts w:ascii="Times New Roman" w:hAnsi="Times New Roman"/>
          <w:color w:val="auto"/>
          <w:highlight w:val="none"/>
        </w:rPr>
      </w:pPr>
      <w:r>
        <w:rPr>
          <w:rFonts w:hint="eastAsia" w:ascii="黑体" w:hAnsi="黑体" w:cs="黑体"/>
          <w:b/>
          <w:color w:val="auto"/>
          <w:highlight w:val="none"/>
        </w:rPr>
        <w:t>8</w:t>
      </w:r>
      <w:r>
        <w:rPr>
          <w:rFonts w:ascii="黑体" w:hAnsi="黑体" w:cs="黑体"/>
          <w:b/>
          <w:color w:val="auto"/>
          <w:highlight w:val="none"/>
        </w:rPr>
        <w:t>.3.3</w:t>
      </w:r>
      <w:r>
        <w:rPr>
          <w:rFonts w:ascii="Times New Roman" w:hAnsi="Times New Roman"/>
          <w:color w:val="auto"/>
          <w:highlight w:val="none"/>
        </w:rPr>
        <w:t xml:space="preserve"> </w:t>
      </w:r>
      <w:r>
        <w:rPr>
          <w:rFonts w:hint="eastAsia" w:ascii="Times New Roman" w:hAnsi="Times New Roman"/>
          <w:color w:val="auto"/>
          <w:highlight w:val="none"/>
        </w:rPr>
        <w:t>结构主体及收容管线自重可按结构构件及管线设计尺寸计算确定。常用材料及其制作件的自重可按现行国家标准《建筑结构荷载规范》GB50009的规定采用。</w:t>
      </w:r>
    </w:p>
    <w:p w14:paraId="1DB90FCE">
      <w:pPr>
        <w:rPr>
          <w:rFonts w:ascii="Times New Roman" w:hAnsi="Times New Roman"/>
          <w:color w:val="auto"/>
          <w:highlight w:val="none"/>
        </w:rPr>
      </w:pPr>
      <w:r>
        <w:rPr>
          <w:rFonts w:hint="eastAsia" w:ascii="黑体" w:hAnsi="黑体" w:cs="黑体"/>
          <w:b/>
          <w:color w:val="auto"/>
          <w:highlight w:val="none"/>
        </w:rPr>
        <w:t>8</w:t>
      </w:r>
      <w:r>
        <w:rPr>
          <w:rFonts w:ascii="黑体" w:hAnsi="黑体" w:cs="黑体"/>
          <w:b/>
          <w:color w:val="auto"/>
          <w:highlight w:val="none"/>
        </w:rPr>
        <w:t>.3.4</w:t>
      </w:r>
      <w:r>
        <w:rPr>
          <w:rFonts w:hint="eastAsia" w:ascii="Times New Roman" w:hAnsi="Times New Roman"/>
          <w:color w:val="auto"/>
          <w:highlight w:val="none"/>
        </w:rPr>
        <w:t xml:space="preserve"> 建设场地地基土有显著变化段的小型综合管廊结构，应计算地基不均匀沉降的影响，其标准值应按现行国家标准《建筑地基基础设计规范》</w:t>
      </w:r>
      <w:r>
        <w:rPr>
          <w:rFonts w:ascii="Times New Roman" w:hAnsi="Times New Roman"/>
          <w:color w:val="auto"/>
          <w:highlight w:val="none"/>
        </w:rPr>
        <w:t>GB 50007</w:t>
      </w:r>
      <w:r>
        <w:rPr>
          <w:rFonts w:hint="eastAsia" w:ascii="Times New Roman" w:hAnsi="Times New Roman"/>
          <w:color w:val="auto"/>
          <w:highlight w:val="none"/>
        </w:rPr>
        <w:t>的规定计算确定。</w:t>
      </w:r>
    </w:p>
    <w:p w14:paraId="5FA01425">
      <w:pPr>
        <w:rPr>
          <w:rFonts w:ascii="Times New Roman" w:hAnsi="Times New Roman"/>
          <w:color w:val="auto"/>
          <w:highlight w:val="none"/>
        </w:rPr>
      </w:pPr>
      <w:r>
        <w:rPr>
          <w:rFonts w:hint="eastAsia" w:ascii="黑体" w:hAnsi="黑体" w:cs="黑体"/>
          <w:b/>
          <w:color w:val="auto"/>
          <w:highlight w:val="none"/>
        </w:rPr>
        <w:t>8</w:t>
      </w:r>
      <w:r>
        <w:rPr>
          <w:rFonts w:ascii="黑体" w:hAnsi="黑体" w:cs="黑体"/>
          <w:b/>
          <w:color w:val="auto"/>
          <w:highlight w:val="none"/>
        </w:rPr>
        <w:t>.3.5</w:t>
      </w:r>
      <w:r>
        <w:rPr>
          <w:rFonts w:ascii="Times New Roman" w:hAnsi="Times New Roman"/>
          <w:color w:val="auto"/>
          <w:highlight w:val="none"/>
        </w:rPr>
        <w:t xml:space="preserve"> </w:t>
      </w:r>
      <w:r>
        <w:rPr>
          <w:rFonts w:hint="eastAsia" w:ascii="Times New Roman" w:hAnsi="Times New Roman"/>
          <w:color w:val="auto"/>
          <w:highlight w:val="none"/>
        </w:rPr>
        <w:t>制作、运输和堆放、安装等短暂设计状况下的预制构件验算，应符合现行国家标准《混凝土结构工程施工规范》GB50666的有关规定。</w:t>
      </w:r>
    </w:p>
    <w:p w14:paraId="1B31C621">
      <w:pPr>
        <w:rPr>
          <w:rFonts w:ascii="Times New Roman" w:hAnsi="Times New Roman"/>
          <w:color w:val="auto"/>
          <w:highlight w:val="none"/>
        </w:rPr>
      </w:pPr>
      <w:r>
        <w:rPr>
          <w:rFonts w:hint="eastAsia" w:ascii="黑体" w:hAnsi="黑体" w:cs="黑体"/>
          <w:b/>
          <w:color w:val="auto"/>
          <w:highlight w:val="none"/>
        </w:rPr>
        <w:t>8</w:t>
      </w:r>
      <w:r>
        <w:rPr>
          <w:rFonts w:ascii="黑体" w:hAnsi="黑体" w:cs="黑体"/>
          <w:b/>
          <w:color w:val="auto"/>
          <w:highlight w:val="none"/>
        </w:rPr>
        <w:t>.3.6</w:t>
      </w:r>
      <w:r>
        <w:rPr>
          <w:rFonts w:hint="eastAsia" w:ascii="Times New Roman" w:hAnsi="Times New Roman"/>
          <w:color w:val="auto"/>
          <w:highlight w:val="none"/>
        </w:rPr>
        <w:t xml:space="preserve"> 预制管廊节段在翻转、运输、吊运、安装等短暂设计状况下的施工验算，应将构件自重标准值乘以动力系数后作为等效静力荷载标准值。构件运输、吊运时，动力系数不应小于</w:t>
      </w:r>
      <w:r>
        <w:rPr>
          <w:rFonts w:ascii="Times New Roman" w:hAnsi="Times New Roman"/>
          <w:color w:val="auto"/>
          <w:highlight w:val="none"/>
        </w:rPr>
        <w:t>1.2</w:t>
      </w:r>
      <w:r>
        <w:rPr>
          <w:rFonts w:hint="eastAsia" w:ascii="Times New Roman" w:hAnsi="Times New Roman"/>
          <w:color w:val="auto"/>
          <w:highlight w:val="none"/>
        </w:rPr>
        <w:t>。荷载取值应符合国家标准《装配式混凝土结构技术规程》</w:t>
      </w:r>
      <w:r>
        <w:rPr>
          <w:rFonts w:ascii="Times New Roman" w:hAnsi="Times New Roman"/>
          <w:color w:val="auto"/>
          <w:highlight w:val="none"/>
        </w:rPr>
        <w:t>JGJ 1</w:t>
      </w:r>
      <w:r>
        <w:rPr>
          <w:rFonts w:hint="eastAsia" w:ascii="Times New Roman" w:hAnsi="Times New Roman"/>
          <w:color w:val="auto"/>
          <w:highlight w:val="none"/>
        </w:rPr>
        <w:t>、《混凝土结构设计规范》</w:t>
      </w:r>
      <w:r>
        <w:rPr>
          <w:rFonts w:ascii="Times New Roman" w:hAnsi="Times New Roman"/>
          <w:color w:val="auto"/>
          <w:highlight w:val="none"/>
        </w:rPr>
        <w:t>GB 50010</w:t>
      </w:r>
      <w:r>
        <w:rPr>
          <w:rFonts w:hint="eastAsia" w:ascii="Times New Roman" w:hAnsi="Times New Roman"/>
          <w:color w:val="auto"/>
          <w:highlight w:val="none"/>
        </w:rPr>
        <w:t>的规定。</w:t>
      </w:r>
    </w:p>
    <w:p w14:paraId="5F8AAF09">
      <w:pPr>
        <w:rPr>
          <w:rFonts w:ascii="Times New Roman" w:hAnsi="Times New Roman"/>
          <w:color w:val="auto"/>
          <w:highlight w:val="none"/>
        </w:rPr>
      </w:pPr>
      <w:r>
        <w:rPr>
          <w:rFonts w:hint="eastAsia" w:ascii="黑体" w:hAnsi="黑体" w:cs="黑体"/>
          <w:b/>
          <w:color w:val="auto"/>
          <w:highlight w:val="none"/>
        </w:rPr>
        <w:t>8</w:t>
      </w:r>
      <w:r>
        <w:rPr>
          <w:rFonts w:ascii="黑体" w:hAnsi="黑体" w:cs="黑体"/>
          <w:b/>
          <w:color w:val="auto"/>
          <w:highlight w:val="none"/>
        </w:rPr>
        <w:t>.3.7</w:t>
      </w:r>
      <w:r>
        <w:rPr>
          <w:rFonts w:hint="eastAsia" w:ascii="Times New Roman" w:hAnsi="Times New Roman"/>
          <w:color w:val="auto"/>
          <w:highlight w:val="none"/>
        </w:rPr>
        <w:t xml:space="preserve"> 预制管廊节段进行脱模验算时，等效静力荷载标准值应取构件自重标准值乘以动力系数后与脱模吸附力之和，且不宜小于构件自重标准值的</w:t>
      </w:r>
      <w:r>
        <w:rPr>
          <w:rFonts w:ascii="Times New Roman" w:hAnsi="Times New Roman"/>
          <w:color w:val="auto"/>
          <w:highlight w:val="none"/>
        </w:rPr>
        <w:t>1.25</w:t>
      </w:r>
      <w:r>
        <w:rPr>
          <w:rFonts w:hint="eastAsia" w:ascii="Times New Roman" w:hAnsi="Times New Roman"/>
          <w:color w:val="auto"/>
          <w:highlight w:val="none"/>
        </w:rPr>
        <w:t>倍。动力系数与脱模吸附力应符合下列规定：</w:t>
      </w:r>
    </w:p>
    <w:p w14:paraId="6669DE4F">
      <w:pPr>
        <w:ind w:firstLine="420" w:firstLineChars="200"/>
        <w:rPr>
          <w:rFonts w:ascii="Times New Roman" w:hAnsi="Times New Roman"/>
          <w:color w:val="auto"/>
          <w:highlight w:val="none"/>
        </w:rPr>
      </w:pPr>
      <w:r>
        <w:rPr>
          <w:rFonts w:hint="eastAsia" w:ascii="Times New Roman" w:hAnsi="Times New Roman"/>
          <w:color w:val="auto"/>
          <w:highlight w:val="none"/>
        </w:rPr>
        <w:t>1 动力系数不宜小于</w:t>
      </w:r>
      <w:r>
        <w:rPr>
          <w:rFonts w:ascii="Times New Roman" w:hAnsi="Times New Roman"/>
          <w:color w:val="auto"/>
          <w:highlight w:val="none"/>
        </w:rPr>
        <w:t>1.2</w:t>
      </w:r>
      <w:r>
        <w:rPr>
          <w:rFonts w:hint="eastAsia" w:ascii="Times New Roman" w:hAnsi="Times New Roman"/>
          <w:color w:val="auto"/>
          <w:highlight w:val="none"/>
        </w:rPr>
        <w:t>；</w:t>
      </w:r>
    </w:p>
    <w:p w14:paraId="23F1498E">
      <w:pPr>
        <w:ind w:firstLine="420" w:firstLineChars="200"/>
        <w:rPr>
          <w:rFonts w:hint="eastAsia" w:ascii="Times New Roman" w:hAnsi="Times New Roman"/>
          <w:color w:val="auto"/>
          <w:highlight w:val="none"/>
        </w:rPr>
      </w:pPr>
      <w:r>
        <w:rPr>
          <w:rFonts w:hint="eastAsia" w:ascii="Times New Roman" w:hAnsi="Times New Roman"/>
          <w:color w:val="auto"/>
          <w:highlight w:val="none"/>
        </w:rPr>
        <w:t>2 脱模吸附力应根据构件和模具的实际状况取用，且不宜小于</w:t>
      </w:r>
      <w:r>
        <w:rPr>
          <w:rFonts w:ascii="Times New Roman" w:hAnsi="Times New Roman"/>
          <w:color w:val="auto"/>
          <w:highlight w:val="none"/>
        </w:rPr>
        <w:t>1.5kN/m</w:t>
      </w:r>
      <w:r>
        <w:rPr>
          <w:rFonts w:ascii="Times New Roman" w:hAnsi="Times New Roman"/>
          <w:color w:val="auto"/>
          <w:highlight w:val="none"/>
          <w:vertAlign w:val="superscript"/>
        </w:rPr>
        <w:t>2</w:t>
      </w:r>
      <w:r>
        <w:rPr>
          <w:rFonts w:hint="eastAsia" w:ascii="Times New Roman" w:hAnsi="Times New Roman"/>
          <w:color w:val="auto"/>
          <w:highlight w:val="none"/>
        </w:rPr>
        <w:t>。</w:t>
      </w:r>
    </w:p>
    <w:p w14:paraId="06826813">
      <w:pPr>
        <w:ind w:firstLine="420" w:firstLineChars="200"/>
        <w:rPr>
          <w:rFonts w:ascii="Times New Roman" w:hAnsi="Times New Roman"/>
          <w:color w:val="auto"/>
          <w:highlight w:val="none"/>
        </w:rPr>
      </w:pPr>
      <w:r>
        <w:rPr>
          <w:rFonts w:hint="eastAsia" w:ascii="Times New Roman" w:hAnsi="Times New Roman"/>
          <w:color w:val="auto"/>
          <w:highlight w:val="none"/>
          <w:lang w:eastAsia="zh-CN"/>
        </w:rPr>
        <w:t>【</w:t>
      </w:r>
      <w:r>
        <w:rPr>
          <w:rFonts w:hint="eastAsia" w:ascii="Times New Roman" w:hAnsi="Times New Roman"/>
          <w:b/>
          <w:bCs/>
          <w:color w:val="auto"/>
          <w:highlight w:val="none"/>
        </w:rPr>
        <w:t>条文说明：</w:t>
      </w:r>
      <w:r>
        <w:rPr>
          <w:rFonts w:hint="eastAsia" w:ascii="Times New Roman" w:hAnsi="Times New Roman"/>
          <w:color w:val="auto"/>
          <w:highlight w:val="none"/>
        </w:rPr>
        <w:t>根据</w:t>
      </w:r>
      <w:r>
        <w:rPr>
          <w:rFonts w:hint="eastAsia"/>
          <w:color w:val="auto"/>
          <w:highlight w:val="none"/>
        </w:rPr>
        <w:t>《</w:t>
      </w:r>
      <w:r>
        <w:rPr>
          <w:rFonts w:hint="eastAsia" w:ascii="Times New Roman" w:hAnsi="Times New Roman" w:eastAsia="宋体" w:cs="Times New Roman"/>
          <w:i w:val="0"/>
          <w:iCs w:val="0"/>
          <w:caps w:val="0"/>
          <w:color w:val="auto"/>
          <w:spacing w:val="0"/>
          <w:sz w:val="21"/>
          <w:szCs w:val="21"/>
          <w:highlight w:val="none"/>
          <w:shd w:val="clear" w:fill="auto"/>
        </w:rPr>
        <w:t>装配式混凝土结构技术规程</w:t>
      </w:r>
      <w:r>
        <w:rPr>
          <w:rFonts w:hint="eastAsia"/>
          <w:color w:val="auto"/>
          <w:highlight w:val="none"/>
        </w:rPr>
        <w:t>》（</w:t>
      </w:r>
      <w:r>
        <w:rPr>
          <w:rFonts w:hint="eastAsia" w:ascii="Times New Roman" w:hAnsi="Times New Roman" w:eastAsia="宋体" w:cs="Times New Roman"/>
          <w:i w:val="0"/>
          <w:iCs w:val="0"/>
          <w:caps w:val="0"/>
          <w:color w:val="auto"/>
          <w:spacing w:val="0"/>
          <w:sz w:val="21"/>
          <w:szCs w:val="21"/>
          <w:highlight w:val="none"/>
          <w:shd w:val="clear"/>
        </w:rPr>
        <w:t>JGJ1-2014</w:t>
      </w:r>
      <w:r>
        <w:rPr>
          <w:rFonts w:hint="eastAsia"/>
          <w:color w:val="auto"/>
          <w:highlight w:val="none"/>
        </w:rPr>
        <w:t>）第</w:t>
      </w:r>
      <w:r>
        <w:rPr>
          <w:rFonts w:hint="eastAsia" w:ascii="Times New Roman" w:hAnsi="Times New Roman" w:eastAsia="宋体" w:cs="Times New Roman"/>
          <w:b w:val="0"/>
          <w:bCs w:val="0"/>
          <w:i w:val="0"/>
          <w:iCs w:val="0"/>
          <w:caps w:val="0"/>
          <w:color w:val="auto"/>
          <w:spacing w:val="0"/>
          <w:sz w:val="21"/>
          <w:szCs w:val="21"/>
          <w:highlight w:val="none"/>
          <w:shd w:val="clear"/>
        </w:rPr>
        <w:t xml:space="preserve">6.2.3 </w:t>
      </w:r>
      <w:r>
        <w:rPr>
          <w:rFonts w:hint="eastAsia"/>
          <w:color w:val="auto"/>
          <w:highlight w:val="none"/>
          <w:lang w:val="en-US" w:eastAsia="zh-CN"/>
        </w:rPr>
        <w:t xml:space="preserve">条 </w:t>
      </w:r>
      <w:r>
        <w:rPr>
          <w:rFonts w:hint="eastAsia"/>
          <w:color w:val="auto"/>
          <w:highlight w:val="none"/>
        </w:rPr>
        <w:t>预制构件进行脱模验算时，等效静力荷载标准值应取构件自重标准值乘以动力系数后与脱模吸附力之和，且不宜小于构件自重标准值的1.5倍。动力系数与脱模吸附力应符合下列规定</w:t>
      </w:r>
      <w:r>
        <w:rPr>
          <w:rFonts w:hint="eastAsia"/>
          <w:color w:val="auto"/>
          <w:highlight w:val="none"/>
          <w:lang w:eastAsia="zh-CN"/>
        </w:rPr>
        <w:t>：</w:t>
      </w:r>
      <w:r>
        <w:rPr>
          <w:rFonts w:hint="eastAsia"/>
          <w:color w:val="auto"/>
          <w:highlight w:val="none"/>
        </w:rPr>
        <w:t>1 动力系数不宜小于1.2</w:t>
      </w:r>
      <w:r>
        <w:rPr>
          <w:rFonts w:hint="eastAsia"/>
          <w:color w:val="auto"/>
          <w:highlight w:val="none"/>
          <w:lang w:eastAsia="zh-CN"/>
        </w:rPr>
        <w:t>；</w:t>
      </w:r>
      <w:r>
        <w:rPr>
          <w:rFonts w:hint="eastAsia"/>
          <w:color w:val="auto"/>
          <w:highlight w:val="none"/>
        </w:rPr>
        <w:t>2脱模吸附力应根据构件和模具的实际状况取用，且不宜小于 1.5kN/m</w:t>
      </w:r>
      <w:r>
        <w:rPr>
          <w:rFonts w:hint="eastAsia" w:ascii="Times New Roman" w:hAnsi="Times New Roman"/>
          <w:color w:val="auto"/>
          <w:highlight w:val="none"/>
          <w:vertAlign w:val="superscript"/>
          <w:lang w:val="en-US" w:eastAsia="zh-CN"/>
        </w:rPr>
        <w:t>2</w:t>
      </w:r>
      <w:r>
        <w:rPr>
          <w:rFonts w:hint="eastAsia" w:ascii="Times New Roman" w:hAnsi="Times New Roman"/>
          <w:color w:val="auto"/>
          <w:highlight w:val="none"/>
          <w:lang w:eastAsia="zh-CN"/>
        </w:rPr>
        <w:t>】</w:t>
      </w:r>
    </w:p>
    <w:p w14:paraId="53DF5F8B">
      <w:pPr>
        <w:pStyle w:val="34"/>
        <w:spacing w:before="156" w:beforeLines="50" w:after="156" w:afterLines="50" w:line="400" w:lineRule="exact"/>
        <w:outlineLvl w:val="2"/>
        <w:rPr>
          <w:rFonts w:ascii="黑体" w:hAnsi="黑体" w:cs="黑体"/>
          <w:color w:val="auto"/>
          <w:sz w:val="21"/>
          <w:szCs w:val="21"/>
          <w:highlight w:val="none"/>
        </w:rPr>
      </w:pPr>
      <w:bookmarkStart w:id="143" w:name="_Toc31036"/>
      <w:bookmarkStart w:id="144" w:name="_Toc7877"/>
      <w:bookmarkStart w:id="145" w:name="_Toc2989"/>
      <w:r>
        <w:rPr>
          <w:rFonts w:hint="eastAsia" w:ascii="黑体" w:hAnsi="黑体" w:cs="黑体"/>
          <w:color w:val="auto"/>
          <w:sz w:val="21"/>
          <w:szCs w:val="21"/>
          <w:highlight w:val="none"/>
        </w:rPr>
        <w:t>8.4 小型现浇混凝土综合管廊结构</w:t>
      </w:r>
      <w:bookmarkEnd w:id="143"/>
      <w:bookmarkEnd w:id="144"/>
      <w:bookmarkEnd w:id="145"/>
    </w:p>
    <w:p w14:paraId="3B612BA4">
      <w:pPr>
        <w:rPr>
          <w:rFonts w:ascii="宋体" w:hAnsi="宋体"/>
          <w:color w:val="auto"/>
          <w:highlight w:val="none"/>
        </w:rPr>
      </w:pPr>
      <w:r>
        <w:rPr>
          <w:rFonts w:hint="eastAsia" w:ascii="黑体" w:hAnsi="黑体" w:cs="黑体"/>
          <w:b/>
          <w:color w:val="auto"/>
          <w:highlight w:val="none"/>
        </w:rPr>
        <w:t>8</w:t>
      </w:r>
      <w:r>
        <w:rPr>
          <w:rFonts w:ascii="黑体" w:hAnsi="黑体" w:cs="黑体"/>
          <w:b/>
          <w:color w:val="auto"/>
          <w:highlight w:val="none"/>
        </w:rPr>
        <w:t>.4.1</w:t>
      </w:r>
      <w:r>
        <w:rPr>
          <w:rFonts w:hint="eastAsia" w:ascii="宋体" w:hAnsi="宋体"/>
          <w:color w:val="auto"/>
          <w:highlight w:val="none"/>
        </w:rPr>
        <w:t xml:space="preserve"> 现浇混凝土综合管廊结构的截面内力计算模型宜采用闭合框架模型。作用于结构底板的基底反力分布应根据地基条件确定，并应符合下列规定:</w:t>
      </w:r>
    </w:p>
    <w:p w14:paraId="19D40BBF">
      <w:pPr>
        <w:ind w:firstLine="420" w:firstLineChars="200"/>
        <w:rPr>
          <w:rFonts w:ascii="宋体" w:hAnsi="宋体"/>
          <w:color w:val="auto"/>
          <w:highlight w:val="none"/>
        </w:rPr>
      </w:pPr>
      <w:r>
        <w:rPr>
          <w:rFonts w:hint="eastAsia" w:ascii="宋体" w:hAnsi="宋体"/>
          <w:color w:val="auto"/>
          <w:highlight w:val="none"/>
        </w:rPr>
        <w:t>1 地层较为坚硬或经加固处理的地基,基底反力可视为直线分布；</w:t>
      </w:r>
    </w:p>
    <w:p w14:paraId="76D357B4">
      <w:pPr>
        <w:ind w:firstLine="420" w:firstLineChars="200"/>
        <w:rPr>
          <w:rFonts w:ascii="宋体" w:hAnsi="宋体"/>
          <w:color w:val="auto"/>
          <w:highlight w:val="none"/>
        </w:rPr>
      </w:pPr>
      <w:r>
        <w:rPr>
          <w:rFonts w:ascii="宋体" w:hAnsi="宋体"/>
          <w:color w:val="auto"/>
          <w:highlight w:val="none"/>
        </w:rPr>
        <w:t>2</w:t>
      </w:r>
      <w:r>
        <w:rPr>
          <w:rFonts w:hint="eastAsia" w:ascii="宋体" w:hAnsi="宋体"/>
          <w:color w:val="auto"/>
          <w:highlight w:val="none"/>
        </w:rPr>
        <w:t xml:space="preserve"> 未经处理的软弱地基,基底反力应按弹性地基上的平面变形截条计算确定。</w:t>
      </w:r>
    </w:p>
    <w:p w14:paraId="24D892DF">
      <w:pPr>
        <w:rPr>
          <w:rFonts w:ascii="宋体" w:hAnsi="宋体"/>
          <w:color w:val="auto"/>
          <w:highlight w:val="none"/>
        </w:rPr>
      </w:pPr>
      <w:r>
        <w:rPr>
          <w:rFonts w:hint="eastAsia" w:ascii="黑体" w:hAnsi="黑体" w:cs="黑体"/>
          <w:b/>
          <w:color w:val="auto"/>
          <w:highlight w:val="none"/>
        </w:rPr>
        <w:t>8</w:t>
      </w:r>
      <w:r>
        <w:rPr>
          <w:rFonts w:ascii="黑体" w:hAnsi="黑体" w:cs="黑体"/>
          <w:b/>
          <w:color w:val="auto"/>
          <w:highlight w:val="none"/>
        </w:rPr>
        <w:t>.4.2</w:t>
      </w:r>
      <w:r>
        <w:rPr>
          <w:rFonts w:hint="eastAsia" w:ascii="宋体" w:hAnsi="宋体"/>
          <w:color w:val="auto"/>
          <w:highlight w:val="none"/>
        </w:rPr>
        <w:t xml:space="preserve"> 现浇混凝土综合管廊结构设计应符合现行国家标准《混凝土结构设计规范GB50010》有关规定。</w:t>
      </w:r>
    </w:p>
    <w:p w14:paraId="23873FDE">
      <w:pPr>
        <w:pStyle w:val="34"/>
        <w:spacing w:before="156" w:beforeLines="50" w:after="156" w:afterLines="50" w:line="400" w:lineRule="exact"/>
        <w:outlineLvl w:val="2"/>
        <w:rPr>
          <w:rFonts w:ascii="黑体" w:hAnsi="黑体" w:cs="黑体"/>
          <w:color w:val="auto"/>
          <w:sz w:val="21"/>
          <w:szCs w:val="21"/>
          <w:highlight w:val="none"/>
        </w:rPr>
      </w:pPr>
      <w:bookmarkStart w:id="146" w:name="_Toc2139"/>
      <w:bookmarkStart w:id="147" w:name="_Toc5775"/>
      <w:bookmarkStart w:id="148" w:name="_Toc21757"/>
      <w:r>
        <w:rPr>
          <w:rFonts w:hint="eastAsia" w:ascii="黑体" w:hAnsi="黑体" w:cs="黑体"/>
          <w:color w:val="auto"/>
          <w:sz w:val="21"/>
          <w:szCs w:val="21"/>
          <w:highlight w:val="none"/>
        </w:rPr>
        <w:t>8.5 小型预制拼装综合管廊结构</w:t>
      </w:r>
      <w:bookmarkEnd w:id="146"/>
      <w:bookmarkEnd w:id="147"/>
      <w:bookmarkEnd w:id="148"/>
    </w:p>
    <w:p w14:paraId="16A9ECBC">
      <w:pPr>
        <w:rPr>
          <w:rFonts w:ascii="宋体" w:hAnsi="宋体"/>
          <w:color w:val="auto"/>
          <w:highlight w:val="none"/>
        </w:rPr>
      </w:pPr>
      <w:r>
        <w:rPr>
          <w:rFonts w:hint="eastAsia" w:ascii="黑体" w:hAnsi="黑体" w:cs="黑体"/>
          <w:b/>
          <w:color w:val="auto"/>
          <w:highlight w:val="none"/>
        </w:rPr>
        <w:t>8</w:t>
      </w:r>
      <w:r>
        <w:rPr>
          <w:rFonts w:ascii="黑体" w:hAnsi="黑体" w:cs="黑体"/>
          <w:b/>
          <w:color w:val="auto"/>
          <w:highlight w:val="none"/>
        </w:rPr>
        <w:t xml:space="preserve">.5.1 </w:t>
      </w:r>
      <w:r>
        <w:rPr>
          <w:rFonts w:hint="eastAsia" w:ascii="宋体" w:hAnsi="宋体"/>
          <w:color w:val="auto"/>
          <w:highlight w:val="none"/>
        </w:rPr>
        <w:t>小型预制拼装综合管廊结构宜采用承插式接头。当有可靠依据时,也可采用其他能够保证预制拼装综合管廊结构安全性、适用性和耐久性的接头构造。</w:t>
      </w:r>
    </w:p>
    <w:p w14:paraId="0FEBADE9">
      <w:pPr>
        <w:rPr>
          <w:rFonts w:ascii="宋体" w:hAnsi="宋体"/>
          <w:color w:val="auto"/>
          <w:highlight w:val="none"/>
        </w:rPr>
      </w:pPr>
      <w:r>
        <w:rPr>
          <w:rFonts w:hint="eastAsia" w:ascii="黑体" w:hAnsi="黑体" w:cs="黑体"/>
          <w:b/>
          <w:color w:val="auto"/>
          <w:highlight w:val="none"/>
        </w:rPr>
        <w:t>8</w:t>
      </w:r>
      <w:r>
        <w:rPr>
          <w:rFonts w:ascii="黑体" w:hAnsi="黑体" w:cs="黑体"/>
          <w:b/>
          <w:color w:val="auto"/>
          <w:highlight w:val="none"/>
        </w:rPr>
        <w:t>.5.2</w:t>
      </w:r>
      <w:r>
        <w:rPr>
          <w:rFonts w:hint="eastAsia" w:ascii="宋体" w:hAnsi="宋体"/>
          <w:color w:val="auto"/>
          <w:highlight w:val="none"/>
        </w:rPr>
        <w:t xml:space="preserve"> 仅带纵向拼缝接头的小型预制拼装综合管廊结构的截面内力计算模型宜采用与现浇混凝土综合管廊结构相同的闭合框架模型。</w:t>
      </w:r>
    </w:p>
    <w:p w14:paraId="5F7B6D4E">
      <w:pPr>
        <w:pStyle w:val="34"/>
        <w:spacing w:before="156" w:beforeLines="50" w:after="156" w:afterLines="50" w:line="400" w:lineRule="exact"/>
        <w:outlineLvl w:val="2"/>
        <w:rPr>
          <w:rFonts w:ascii="黑体" w:hAnsi="黑体" w:cs="黑体"/>
          <w:color w:val="auto"/>
          <w:sz w:val="21"/>
          <w:szCs w:val="21"/>
          <w:highlight w:val="none"/>
        </w:rPr>
      </w:pPr>
      <w:bookmarkStart w:id="149" w:name="_Toc251"/>
      <w:bookmarkStart w:id="150" w:name="_Toc165020573"/>
      <w:bookmarkStart w:id="151" w:name="_Toc25977"/>
      <w:bookmarkStart w:id="152" w:name="_Toc25647"/>
      <w:r>
        <w:rPr>
          <w:rFonts w:hint="eastAsia" w:ascii="黑体" w:hAnsi="黑体" w:cs="黑体"/>
          <w:color w:val="auto"/>
          <w:sz w:val="21"/>
          <w:szCs w:val="21"/>
          <w:highlight w:val="none"/>
        </w:rPr>
        <w:t>8.</w:t>
      </w:r>
      <w:r>
        <w:rPr>
          <w:rFonts w:ascii="黑体" w:hAnsi="黑体" w:cs="黑体"/>
          <w:color w:val="auto"/>
          <w:sz w:val="21"/>
          <w:szCs w:val="21"/>
          <w:highlight w:val="none"/>
        </w:rPr>
        <w:t>6</w:t>
      </w:r>
      <w:r>
        <w:rPr>
          <w:rFonts w:hint="eastAsia" w:ascii="黑体" w:hAnsi="黑体" w:cs="黑体"/>
          <w:color w:val="auto"/>
          <w:sz w:val="21"/>
          <w:szCs w:val="21"/>
          <w:highlight w:val="none"/>
        </w:rPr>
        <w:t xml:space="preserve"> 构造要求</w:t>
      </w:r>
      <w:bookmarkEnd w:id="149"/>
      <w:bookmarkEnd w:id="150"/>
      <w:bookmarkEnd w:id="151"/>
      <w:bookmarkEnd w:id="152"/>
    </w:p>
    <w:p w14:paraId="1D1D22E1">
      <w:pPr>
        <w:rPr>
          <w:rFonts w:ascii="Times New Roman" w:hAnsi="Times New Roman"/>
          <w:color w:val="auto"/>
          <w:highlight w:val="none"/>
        </w:rPr>
      </w:pPr>
      <w:r>
        <w:rPr>
          <w:rFonts w:hint="eastAsia" w:ascii="黑体" w:hAnsi="黑体" w:cs="黑体"/>
          <w:b/>
          <w:color w:val="auto"/>
          <w:highlight w:val="none"/>
        </w:rPr>
        <w:t>8</w:t>
      </w:r>
      <w:r>
        <w:rPr>
          <w:rFonts w:ascii="黑体" w:hAnsi="黑体" w:cs="黑体"/>
          <w:b/>
          <w:color w:val="auto"/>
          <w:highlight w:val="none"/>
        </w:rPr>
        <w:t>.6.1</w:t>
      </w:r>
      <w:r>
        <w:rPr>
          <w:rFonts w:hint="eastAsia" w:ascii="Times New Roman" w:hAnsi="Times New Roman"/>
          <w:color w:val="auto"/>
          <w:highlight w:val="none"/>
        </w:rPr>
        <w:t xml:space="preserve"> 小型综合管廊结构应在纵向设置变形缝，变形缝的设置应符合下列规定：</w:t>
      </w:r>
    </w:p>
    <w:p w14:paraId="01CFC78A">
      <w:pPr>
        <w:ind w:left="420" w:leftChars="200"/>
        <w:rPr>
          <w:rFonts w:ascii="Times New Roman" w:hAnsi="Times New Roman"/>
          <w:color w:val="auto"/>
          <w:highlight w:val="none"/>
        </w:rPr>
      </w:pPr>
      <w:r>
        <w:rPr>
          <w:rFonts w:hint="eastAsia" w:ascii="Times New Roman" w:hAnsi="Times New Roman"/>
          <w:color w:val="auto"/>
          <w:highlight w:val="none"/>
        </w:rPr>
        <w:t>1</w:t>
      </w:r>
      <w:r>
        <w:rPr>
          <w:rFonts w:ascii="Times New Roman" w:hAnsi="Times New Roman"/>
          <w:color w:val="auto"/>
          <w:highlight w:val="none"/>
        </w:rPr>
        <w:t xml:space="preserve"> </w:t>
      </w:r>
      <w:r>
        <w:rPr>
          <w:rFonts w:hint="eastAsia" w:ascii="Times New Roman" w:hAnsi="Times New Roman"/>
          <w:color w:val="auto"/>
          <w:highlight w:val="none"/>
        </w:rPr>
        <w:t>现浇混凝土小型综合管廊结构变形缝的间距不应大于30m；</w:t>
      </w:r>
    </w:p>
    <w:p w14:paraId="1B26BCA5">
      <w:pPr>
        <w:ind w:left="420" w:leftChars="200"/>
        <w:rPr>
          <w:rFonts w:ascii="Times New Roman" w:hAnsi="Times New Roman"/>
          <w:color w:val="auto"/>
          <w:highlight w:val="none"/>
        </w:rPr>
      </w:pPr>
      <w:r>
        <w:rPr>
          <w:rFonts w:hint="eastAsia" w:ascii="Times New Roman" w:hAnsi="Times New Roman"/>
          <w:color w:val="auto"/>
          <w:highlight w:val="none"/>
        </w:rPr>
        <w:t>2 结构纵向刚度突变处以及上覆荷载变化处或下卧土层突变处，应设置变形缝；</w:t>
      </w:r>
    </w:p>
    <w:p w14:paraId="381FD2AC">
      <w:pPr>
        <w:ind w:left="420" w:leftChars="200"/>
        <w:rPr>
          <w:rFonts w:ascii="Times New Roman" w:hAnsi="Times New Roman"/>
          <w:color w:val="auto"/>
          <w:highlight w:val="none"/>
        </w:rPr>
      </w:pPr>
      <w:r>
        <w:rPr>
          <w:rFonts w:hint="eastAsia" w:ascii="Times New Roman" w:hAnsi="Times New Roman"/>
          <w:color w:val="auto"/>
          <w:highlight w:val="none"/>
        </w:rPr>
        <w:t>3 变形缝的缝宽不宜小于30mm；</w:t>
      </w:r>
    </w:p>
    <w:p w14:paraId="37E1DAF7">
      <w:pPr>
        <w:ind w:left="420" w:leftChars="200"/>
        <w:rPr>
          <w:rFonts w:ascii="Times New Roman" w:hAnsi="Times New Roman"/>
          <w:color w:val="auto"/>
          <w:highlight w:val="none"/>
        </w:rPr>
      </w:pPr>
      <w:r>
        <w:rPr>
          <w:rFonts w:hint="eastAsia" w:ascii="Times New Roman" w:hAnsi="Times New Roman"/>
          <w:color w:val="auto"/>
          <w:highlight w:val="none"/>
        </w:rPr>
        <w:t>4 变形缝应设置橡胶止水带、填缝材料和嵌缝材料等止水构造。</w:t>
      </w:r>
    </w:p>
    <w:p w14:paraId="6E99FE55">
      <w:pPr>
        <w:rPr>
          <w:rFonts w:ascii="宋体" w:hAnsi="宋体"/>
          <w:color w:val="auto"/>
          <w:highlight w:val="none"/>
        </w:rPr>
      </w:pPr>
      <w:r>
        <w:rPr>
          <w:rFonts w:hint="eastAsia" w:ascii="黑体" w:hAnsi="黑体" w:cs="黑体"/>
          <w:b/>
          <w:color w:val="auto"/>
          <w:highlight w:val="none"/>
        </w:rPr>
        <w:t>8</w:t>
      </w:r>
      <w:r>
        <w:rPr>
          <w:rFonts w:ascii="黑体" w:hAnsi="黑体" w:cs="黑体"/>
          <w:b/>
          <w:color w:val="auto"/>
          <w:highlight w:val="none"/>
        </w:rPr>
        <w:t>.6.2</w:t>
      </w:r>
      <w:r>
        <w:rPr>
          <w:rFonts w:ascii="宋体" w:hAnsi="宋体"/>
          <w:color w:val="auto"/>
          <w:highlight w:val="none"/>
        </w:rPr>
        <w:t xml:space="preserve"> </w:t>
      </w:r>
      <w:r>
        <w:rPr>
          <w:rFonts w:hint="eastAsia" w:ascii="宋体" w:hAnsi="宋体"/>
          <w:color w:val="auto"/>
          <w:highlight w:val="none"/>
        </w:rPr>
        <w:t>混凝土小型综合管廊结构主要承重侧壁的厚度不宜小于250mm，非承重侧壁和隔墙等构件的厚度不宜小于200mm，若采用预制形式可适当减少50mm。变形缝处混凝土结构的厚度不应小于300mm。</w:t>
      </w:r>
    </w:p>
    <w:p w14:paraId="24BF0375">
      <w:pPr>
        <w:rPr>
          <w:rFonts w:ascii="宋体" w:hAnsi="宋体"/>
          <w:color w:val="auto"/>
          <w:highlight w:val="none"/>
        </w:rPr>
      </w:pPr>
      <w:r>
        <w:rPr>
          <w:rFonts w:hint="eastAsia" w:ascii="黑体" w:hAnsi="黑体" w:cs="黑体"/>
          <w:b/>
          <w:color w:val="auto"/>
          <w:highlight w:val="none"/>
        </w:rPr>
        <w:t>8</w:t>
      </w:r>
      <w:r>
        <w:rPr>
          <w:rFonts w:ascii="黑体" w:hAnsi="黑体" w:cs="黑体"/>
          <w:b/>
          <w:color w:val="auto"/>
          <w:highlight w:val="none"/>
        </w:rPr>
        <w:t>.6.3</w:t>
      </w:r>
      <w:r>
        <w:rPr>
          <w:rFonts w:hint="eastAsia" w:ascii="宋体" w:hAnsi="宋体"/>
          <w:color w:val="auto"/>
          <w:highlight w:val="none"/>
        </w:rPr>
        <w:t xml:space="preserve"> 小型综合管廊结构中钢筋的混凝土保护层厚度应根据环境条件和耐久性要求并按国家现行标准《混凝土结构设计规范》GB 50010的有关规定确定。</w:t>
      </w:r>
    </w:p>
    <w:p w14:paraId="4EF46DA7">
      <w:pPr>
        <w:rPr>
          <w:rFonts w:ascii="宋体" w:hAnsi="宋体"/>
          <w:color w:val="auto"/>
          <w:highlight w:val="none"/>
        </w:rPr>
      </w:pPr>
      <w:r>
        <w:rPr>
          <w:rFonts w:hint="eastAsia" w:ascii="黑体" w:hAnsi="黑体" w:cs="黑体"/>
          <w:b/>
          <w:color w:val="auto"/>
          <w:highlight w:val="none"/>
        </w:rPr>
        <w:t>8</w:t>
      </w:r>
      <w:r>
        <w:rPr>
          <w:rFonts w:ascii="黑体" w:hAnsi="黑体" w:cs="黑体"/>
          <w:b/>
          <w:color w:val="auto"/>
          <w:highlight w:val="none"/>
        </w:rPr>
        <w:t>.6.4</w:t>
      </w:r>
      <w:r>
        <w:rPr>
          <w:rFonts w:hint="eastAsia" w:ascii="宋体" w:hAnsi="宋体"/>
          <w:color w:val="auto"/>
          <w:highlight w:val="none"/>
        </w:rPr>
        <w:t xml:space="preserve">  小型综合管廊各部位金属预埋件的锚筋面积和构造要求应按国家现行标准《混凝土结构设计规范》GB 50010的有关规定确定。预埋件的外露部分，应采取防腐保护措施。</w:t>
      </w:r>
    </w:p>
    <w:p w14:paraId="121F8AD2">
      <w:pPr>
        <w:rPr>
          <w:rFonts w:ascii="宋体" w:hAnsi="宋体"/>
          <w:strike/>
          <w:color w:val="auto"/>
          <w:highlight w:val="none"/>
        </w:rPr>
      </w:pPr>
      <w:r>
        <w:rPr>
          <w:rFonts w:hint="eastAsia" w:ascii="黑体" w:hAnsi="黑体" w:cs="黑体"/>
          <w:b/>
          <w:color w:val="auto"/>
          <w:highlight w:val="none"/>
        </w:rPr>
        <w:t>8</w:t>
      </w:r>
      <w:r>
        <w:rPr>
          <w:rFonts w:ascii="黑体" w:hAnsi="黑体" w:cs="黑体"/>
          <w:b/>
          <w:color w:val="auto"/>
          <w:highlight w:val="none"/>
        </w:rPr>
        <w:t>.6.5</w:t>
      </w:r>
      <w:r>
        <w:rPr>
          <w:rFonts w:hint="eastAsia" w:ascii="宋体" w:hAnsi="宋体"/>
          <w:color w:val="auto"/>
          <w:highlight w:val="none"/>
        </w:rPr>
        <w:t xml:space="preserve"> 小型综合管廊采用的防水材料及复合防水构造形式均应符合现行国家标准《地下工程防水技术规范》</w:t>
      </w:r>
      <w:r>
        <w:rPr>
          <w:rFonts w:ascii="宋体" w:hAnsi="宋体"/>
          <w:color w:val="auto"/>
          <w:highlight w:val="none"/>
        </w:rPr>
        <w:t>GB 50108</w:t>
      </w:r>
      <w:r>
        <w:rPr>
          <w:rFonts w:hint="eastAsia" w:ascii="宋体" w:hAnsi="宋体"/>
          <w:color w:val="auto"/>
          <w:highlight w:val="none"/>
        </w:rPr>
        <w:t>、《建筑与市政工程防水通用规范》</w:t>
      </w:r>
      <w:r>
        <w:rPr>
          <w:rFonts w:ascii="宋体" w:hAnsi="宋体"/>
          <w:color w:val="auto"/>
          <w:highlight w:val="none"/>
        </w:rPr>
        <w:t>GB55030</w:t>
      </w:r>
      <w:r>
        <w:rPr>
          <w:rFonts w:hint="eastAsia" w:ascii="宋体" w:hAnsi="宋体"/>
          <w:color w:val="auto"/>
          <w:highlight w:val="none"/>
        </w:rPr>
        <w:t>的有关规定。</w:t>
      </w:r>
    </w:p>
    <w:p w14:paraId="5F1D4406">
      <w:pPr>
        <w:rPr>
          <w:rFonts w:ascii="宋体" w:hAnsi="宋体"/>
          <w:color w:val="auto"/>
          <w:highlight w:val="none"/>
        </w:rPr>
      </w:pPr>
      <w:r>
        <w:rPr>
          <w:rFonts w:hint="eastAsia" w:ascii="黑体" w:hAnsi="黑体" w:cs="黑体"/>
          <w:b/>
          <w:color w:val="auto"/>
          <w:highlight w:val="none"/>
        </w:rPr>
        <w:t>8</w:t>
      </w:r>
      <w:r>
        <w:rPr>
          <w:rFonts w:ascii="黑体" w:hAnsi="黑体" w:cs="黑体"/>
          <w:b/>
          <w:color w:val="auto"/>
          <w:highlight w:val="none"/>
        </w:rPr>
        <w:t>.6.6</w:t>
      </w:r>
      <w:r>
        <w:rPr>
          <w:rFonts w:hint="eastAsia" w:ascii="宋体" w:hAnsi="宋体"/>
          <w:color w:val="auto"/>
          <w:highlight w:val="none"/>
        </w:rPr>
        <w:t xml:space="preserve"> 现浇混凝土管廊结构最小配筋率除满足强度、抗裂要求外，应符合现行国家标准《混凝土结构通用规范》</w:t>
      </w:r>
      <w:r>
        <w:rPr>
          <w:rFonts w:ascii="宋体" w:hAnsi="宋体"/>
          <w:color w:val="auto"/>
          <w:highlight w:val="none"/>
        </w:rPr>
        <w:t>GB55008</w:t>
      </w:r>
      <w:r>
        <w:rPr>
          <w:rFonts w:hint="eastAsia" w:ascii="宋体" w:hAnsi="宋体"/>
          <w:color w:val="auto"/>
          <w:highlight w:val="none"/>
        </w:rPr>
        <w:t>的规定。</w:t>
      </w:r>
    </w:p>
    <w:p w14:paraId="00C77AB1">
      <w:pPr>
        <w:rPr>
          <w:color w:val="auto"/>
          <w:highlight w:val="none"/>
        </w:rPr>
      </w:pPr>
    </w:p>
    <w:p w14:paraId="78EE13D6">
      <w:pPr>
        <w:widowControl/>
        <w:adjustRightInd/>
        <w:spacing w:line="240" w:lineRule="auto"/>
        <w:jc w:val="left"/>
        <w:rPr>
          <w:rFonts w:ascii="黑体" w:hAnsi="黑体" w:eastAsia="黑体"/>
          <w:b/>
          <w:bCs/>
          <w:color w:val="auto"/>
          <w:sz w:val="32"/>
          <w:szCs w:val="32"/>
          <w:highlight w:val="none"/>
        </w:rPr>
      </w:pPr>
      <w:r>
        <w:rPr>
          <w:rFonts w:ascii="黑体" w:hAnsi="黑体" w:eastAsia="黑体"/>
          <w:b/>
          <w:bCs/>
          <w:color w:val="auto"/>
          <w:sz w:val="32"/>
          <w:szCs w:val="32"/>
          <w:highlight w:val="none"/>
        </w:rPr>
        <w:br w:type="page"/>
      </w:r>
    </w:p>
    <w:p w14:paraId="64026B7D">
      <w:pPr>
        <w:pStyle w:val="2"/>
        <w:spacing w:before="300" w:after="300" w:line="400" w:lineRule="exact"/>
        <w:jc w:val="center"/>
        <w:rPr>
          <w:rFonts w:ascii="黑体" w:hAnsi="黑体"/>
          <w:color w:val="auto"/>
          <w:highlight w:val="none"/>
        </w:rPr>
      </w:pPr>
      <w:bookmarkStart w:id="153" w:name="_Toc13880"/>
      <w:bookmarkStart w:id="154" w:name="_Toc13487"/>
      <w:bookmarkStart w:id="155" w:name="_Toc27555"/>
      <w:r>
        <w:rPr>
          <w:rFonts w:hint="eastAsia" w:ascii="黑体" w:hAnsi="黑体"/>
          <w:color w:val="auto"/>
          <w:highlight w:val="none"/>
        </w:rPr>
        <w:t>9  施工及验收</w:t>
      </w:r>
      <w:bookmarkEnd w:id="153"/>
      <w:bookmarkEnd w:id="154"/>
      <w:bookmarkEnd w:id="155"/>
    </w:p>
    <w:p w14:paraId="4D6BDE2A">
      <w:pPr>
        <w:pStyle w:val="34"/>
        <w:spacing w:before="156" w:beforeLines="50" w:after="156" w:afterLines="50" w:line="400" w:lineRule="exact"/>
        <w:outlineLvl w:val="2"/>
        <w:rPr>
          <w:rFonts w:ascii="黑体" w:hAnsi="黑体" w:cs="黑体"/>
          <w:color w:val="auto"/>
          <w:sz w:val="21"/>
          <w:szCs w:val="21"/>
          <w:highlight w:val="none"/>
        </w:rPr>
      </w:pPr>
      <w:bookmarkStart w:id="156" w:name="_Toc14024"/>
      <w:bookmarkStart w:id="157" w:name="_Toc3186"/>
      <w:bookmarkStart w:id="158" w:name="_Toc19533"/>
      <w:bookmarkStart w:id="159" w:name="_Toc23520"/>
      <w:bookmarkStart w:id="160" w:name="_Toc14897"/>
      <w:bookmarkStart w:id="161" w:name="_Toc3452"/>
      <w:bookmarkStart w:id="162" w:name="_Toc19813"/>
      <w:r>
        <w:rPr>
          <w:rFonts w:hint="eastAsia" w:ascii="黑体" w:hAnsi="黑体" w:cs="黑体"/>
          <w:color w:val="auto"/>
          <w:sz w:val="21"/>
          <w:szCs w:val="21"/>
          <w:highlight w:val="none"/>
        </w:rPr>
        <w:t>9.1</w:t>
      </w:r>
      <w:r>
        <w:rPr>
          <w:rFonts w:hint="eastAsia" w:ascii="黑体" w:hAnsi="黑体" w:cs="黑体"/>
          <w:color w:val="auto"/>
          <w:sz w:val="21"/>
          <w:szCs w:val="21"/>
          <w:highlight w:val="none"/>
          <w:lang w:val="en-US" w:eastAsia="zh-CN"/>
        </w:rPr>
        <w:t xml:space="preserve"> </w:t>
      </w:r>
      <w:r>
        <w:rPr>
          <w:rFonts w:hint="eastAsia" w:ascii="黑体" w:hAnsi="黑体" w:cs="黑体"/>
          <w:color w:val="auto"/>
          <w:sz w:val="21"/>
          <w:szCs w:val="21"/>
          <w:highlight w:val="none"/>
        </w:rPr>
        <w:t>一般规定</w:t>
      </w:r>
      <w:bookmarkEnd w:id="156"/>
      <w:bookmarkEnd w:id="157"/>
      <w:bookmarkEnd w:id="158"/>
    </w:p>
    <w:p w14:paraId="04CE4FEC">
      <w:pPr>
        <w:rPr>
          <w:color w:val="auto"/>
          <w:highlight w:val="none"/>
        </w:rPr>
      </w:pPr>
      <w:r>
        <w:rPr>
          <w:rFonts w:hint="eastAsia" w:asciiTheme="minorEastAsia" w:hAnsiTheme="minorEastAsia" w:eastAsiaTheme="minorEastAsia" w:cstheme="minorEastAsia"/>
          <w:b/>
          <w:bCs/>
          <w:color w:val="auto"/>
          <w:highlight w:val="none"/>
          <w:lang w:val="en-US" w:eastAsia="zh-CN"/>
        </w:rPr>
        <w:t>9</w:t>
      </w:r>
      <w:r>
        <w:rPr>
          <w:rFonts w:hint="eastAsia" w:asciiTheme="minorEastAsia" w:hAnsiTheme="minorEastAsia" w:eastAsiaTheme="minorEastAsia" w:cstheme="minorEastAsia"/>
          <w:b/>
          <w:bCs/>
          <w:color w:val="auto"/>
          <w:highlight w:val="none"/>
        </w:rPr>
        <w:t>.1.1</w:t>
      </w:r>
      <w:r>
        <w:rPr>
          <w:color w:val="auto"/>
          <w:highlight w:val="none"/>
        </w:rPr>
        <w:t xml:space="preserve">  施工单位应建立安全管理体系和安全生产责任制，确保施工安全。</w:t>
      </w:r>
    </w:p>
    <w:p w14:paraId="79CFA80E">
      <w:pPr>
        <w:rPr>
          <w:color w:val="auto"/>
          <w:highlight w:val="none"/>
        </w:rPr>
      </w:pPr>
      <w:r>
        <w:rPr>
          <w:rFonts w:hint="eastAsia" w:asciiTheme="minorEastAsia" w:hAnsiTheme="minorEastAsia" w:eastAsiaTheme="minorEastAsia" w:cstheme="minorEastAsia"/>
          <w:b/>
          <w:bCs/>
          <w:color w:val="auto"/>
          <w:highlight w:val="none"/>
          <w:lang w:val="en-US" w:eastAsia="zh-CN"/>
        </w:rPr>
        <w:t>9</w:t>
      </w:r>
      <w:r>
        <w:rPr>
          <w:rFonts w:hint="eastAsia" w:asciiTheme="minorEastAsia" w:hAnsiTheme="minorEastAsia" w:eastAsiaTheme="minorEastAsia" w:cstheme="minorEastAsia"/>
          <w:b/>
          <w:bCs/>
          <w:color w:val="auto"/>
          <w:highlight w:val="none"/>
        </w:rPr>
        <w:t xml:space="preserve">.1.2 </w:t>
      </w:r>
      <w:r>
        <w:rPr>
          <w:color w:val="auto"/>
          <w:highlight w:val="none"/>
        </w:rPr>
        <w:t xml:space="preserve"> 施工项目质量控制应符合国家现行有关施工标准的规定，并应建立质量管理体系、检验制度，满足质量控制要求。</w:t>
      </w:r>
    </w:p>
    <w:p w14:paraId="72807683">
      <w:pPr>
        <w:rPr>
          <w:rFonts w:hint="eastAsia" w:ascii="宋体" w:hAnsi="宋体" w:eastAsia="宋体" w:cs="黑体"/>
          <w:color w:val="auto"/>
          <w:highlight w:val="none"/>
          <w:lang w:eastAsia="zh-CN"/>
        </w:rPr>
      </w:pPr>
      <w:r>
        <w:rPr>
          <w:rFonts w:hint="eastAsia" w:ascii="黑体" w:hAnsi="黑体" w:eastAsia="黑体" w:cs="黑体"/>
          <w:b/>
          <w:bCs/>
          <w:color w:val="auto"/>
          <w:highlight w:val="none"/>
        </w:rPr>
        <w:t>9.1.</w:t>
      </w:r>
      <w:r>
        <w:rPr>
          <w:rFonts w:hint="eastAsia" w:ascii="黑体" w:hAnsi="黑体" w:eastAsia="黑体" w:cs="黑体"/>
          <w:b/>
          <w:bCs/>
          <w:color w:val="auto"/>
          <w:highlight w:val="none"/>
          <w:lang w:val="en-US" w:eastAsia="zh-CN"/>
        </w:rPr>
        <w:t>3</w:t>
      </w:r>
      <w:r>
        <w:rPr>
          <w:rFonts w:hint="eastAsia" w:ascii="宋体" w:hAnsi="宋体" w:cs="黑体"/>
          <w:color w:val="auto"/>
          <w:highlight w:val="none"/>
        </w:rPr>
        <w:t xml:space="preserve"> 小型综合管廊工程施工质量控制应符合现行工程建设强制性国家规范《建筑与市政工程施工质量控制通用规范》GB 55032的有关规定。</w:t>
      </w:r>
      <w:r>
        <w:rPr>
          <w:rFonts w:hint="eastAsia" w:ascii="宋体" w:hAnsi="宋体" w:cs="黑体"/>
          <w:color w:val="auto"/>
          <w:highlight w:val="none"/>
          <w:lang w:eastAsia="zh-CN"/>
        </w:rPr>
        <w:t>【</w:t>
      </w:r>
      <w:r>
        <w:rPr>
          <w:rFonts w:hint="eastAsia" w:ascii="宋体" w:hAnsi="宋体" w:cs="黑体"/>
          <w:color w:val="auto"/>
          <w:highlight w:val="none"/>
          <w:lang w:val="en-US" w:eastAsia="zh-CN"/>
        </w:rPr>
        <w:t>本条新增。理由：该通用规范为</w:t>
      </w:r>
      <w:r>
        <w:rPr>
          <w:rFonts w:hint="eastAsia" w:ascii="宋体" w:hAnsi="宋体" w:cs="黑体"/>
          <w:color w:val="auto"/>
          <w:highlight w:val="none"/>
        </w:rPr>
        <w:t>现行工程建设强制性国家规范</w:t>
      </w:r>
      <w:r>
        <w:rPr>
          <w:rFonts w:hint="eastAsia" w:ascii="宋体" w:hAnsi="宋体" w:cs="黑体"/>
          <w:color w:val="auto"/>
          <w:highlight w:val="none"/>
          <w:lang w:eastAsia="zh-CN"/>
        </w:rPr>
        <w:t>，</w:t>
      </w:r>
      <w:r>
        <w:rPr>
          <w:rFonts w:hint="eastAsia" w:ascii="宋体" w:hAnsi="宋体" w:cs="黑体"/>
          <w:color w:val="auto"/>
          <w:highlight w:val="none"/>
          <w:lang w:val="en-US" w:eastAsia="zh-CN"/>
        </w:rPr>
        <w:t>施工时应严格执行，提高施工质量控制水平。</w:t>
      </w:r>
      <w:r>
        <w:rPr>
          <w:rFonts w:hint="eastAsia" w:ascii="宋体" w:hAnsi="宋体" w:cs="黑体"/>
          <w:color w:val="auto"/>
          <w:highlight w:val="none"/>
          <w:lang w:eastAsia="zh-CN"/>
        </w:rPr>
        <w:t>】</w:t>
      </w:r>
    </w:p>
    <w:p w14:paraId="2F80294B">
      <w:pPr>
        <w:rPr>
          <w:rFonts w:hint="eastAsia" w:ascii="宋体" w:hAnsi="宋体" w:cs="黑体"/>
          <w:color w:val="auto"/>
          <w:highlight w:val="none"/>
          <w:lang w:eastAsia="zh-CN"/>
        </w:rPr>
      </w:pPr>
      <w:r>
        <w:rPr>
          <w:rFonts w:hint="eastAsia" w:ascii="黑体" w:hAnsi="黑体" w:eastAsia="黑体" w:cs="黑体"/>
          <w:b/>
          <w:bCs/>
          <w:color w:val="auto"/>
          <w:highlight w:val="none"/>
        </w:rPr>
        <w:t>9.1.</w:t>
      </w:r>
      <w:r>
        <w:rPr>
          <w:rFonts w:hint="eastAsia" w:ascii="黑体" w:hAnsi="黑体" w:eastAsia="黑体" w:cs="黑体"/>
          <w:b/>
          <w:bCs/>
          <w:color w:val="auto"/>
          <w:highlight w:val="none"/>
          <w:lang w:val="en-US" w:eastAsia="zh-CN"/>
        </w:rPr>
        <w:t>4</w:t>
      </w:r>
      <w:r>
        <w:rPr>
          <w:rFonts w:hint="eastAsia" w:ascii="宋体" w:hAnsi="宋体" w:cs="黑体"/>
          <w:color w:val="auto"/>
          <w:highlight w:val="none"/>
        </w:rPr>
        <w:t xml:space="preserve"> 小型综合管廊工程施工现场安全、环境、卫生与职业健康管理应符合现行工程建设强制性国家规范《建筑与市政施工现场安全卫生与职业健康通用规范》 GB 55034的有关规定。</w:t>
      </w:r>
      <w:r>
        <w:rPr>
          <w:rFonts w:hint="eastAsia" w:ascii="宋体" w:hAnsi="宋体" w:cs="黑体"/>
          <w:color w:val="auto"/>
          <w:highlight w:val="none"/>
          <w:lang w:eastAsia="zh-CN"/>
        </w:rPr>
        <w:t>【</w:t>
      </w:r>
      <w:r>
        <w:rPr>
          <w:rFonts w:hint="eastAsia" w:ascii="宋体" w:hAnsi="宋体" w:cs="黑体"/>
          <w:color w:val="auto"/>
          <w:highlight w:val="none"/>
          <w:lang w:val="en-US" w:eastAsia="zh-CN"/>
        </w:rPr>
        <w:t>本条新增。理由：理由：该通用规范为</w:t>
      </w:r>
      <w:r>
        <w:rPr>
          <w:rFonts w:hint="eastAsia" w:ascii="宋体" w:hAnsi="宋体" w:cs="黑体"/>
          <w:color w:val="auto"/>
          <w:highlight w:val="none"/>
        </w:rPr>
        <w:t>现行工程建设强制性国家规范</w:t>
      </w:r>
      <w:r>
        <w:rPr>
          <w:rFonts w:hint="eastAsia" w:ascii="宋体" w:hAnsi="宋体" w:cs="黑体"/>
          <w:color w:val="auto"/>
          <w:highlight w:val="none"/>
          <w:lang w:eastAsia="zh-CN"/>
        </w:rPr>
        <w:t>，</w:t>
      </w:r>
      <w:r>
        <w:rPr>
          <w:rFonts w:hint="eastAsia" w:ascii="宋体" w:hAnsi="宋体" w:cs="黑体"/>
          <w:color w:val="auto"/>
          <w:highlight w:val="none"/>
          <w:lang w:val="en-US" w:eastAsia="zh-CN"/>
        </w:rPr>
        <w:t>施工时应严格执行，加强</w:t>
      </w:r>
      <w:r>
        <w:rPr>
          <w:rFonts w:hint="eastAsia" w:ascii="宋体" w:hAnsi="宋体" w:cs="黑体"/>
          <w:color w:val="auto"/>
          <w:highlight w:val="none"/>
        </w:rPr>
        <w:t>施工现场安全、环境、卫生与职业健康管理</w:t>
      </w:r>
      <w:r>
        <w:rPr>
          <w:rFonts w:hint="eastAsia" w:ascii="宋体" w:hAnsi="宋体" w:cs="黑体"/>
          <w:color w:val="auto"/>
          <w:highlight w:val="none"/>
          <w:lang w:val="en-US" w:eastAsia="zh-CN"/>
        </w:rPr>
        <w:t>。</w:t>
      </w:r>
      <w:r>
        <w:rPr>
          <w:rFonts w:hint="eastAsia" w:ascii="宋体" w:hAnsi="宋体" w:cs="黑体"/>
          <w:color w:val="auto"/>
          <w:highlight w:val="none"/>
          <w:lang w:eastAsia="zh-CN"/>
        </w:rPr>
        <w:t>】</w:t>
      </w:r>
    </w:p>
    <w:p w14:paraId="700947D8">
      <w:pPr>
        <w:rPr>
          <w:rFonts w:hint="eastAsia"/>
          <w:color w:val="auto"/>
          <w:highlight w:val="none"/>
        </w:rPr>
      </w:pPr>
      <w:r>
        <w:rPr>
          <w:rFonts w:hint="eastAsia" w:asciiTheme="minorEastAsia" w:hAnsiTheme="minorEastAsia" w:eastAsiaTheme="minorEastAsia" w:cstheme="minorEastAsia"/>
          <w:b/>
          <w:bCs w:val="0"/>
          <w:color w:val="auto"/>
          <w:highlight w:val="none"/>
          <w:lang w:val="en-US" w:eastAsia="zh-CN"/>
        </w:rPr>
        <w:t>9</w:t>
      </w:r>
      <w:r>
        <w:rPr>
          <w:rFonts w:hint="eastAsia" w:asciiTheme="minorEastAsia" w:hAnsiTheme="minorEastAsia" w:eastAsiaTheme="minorEastAsia" w:cstheme="minorEastAsia"/>
          <w:b/>
          <w:bCs w:val="0"/>
          <w:color w:val="auto"/>
          <w:highlight w:val="none"/>
        </w:rPr>
        <w:t>.1.</w:t>
      </w:r>
      <w:r>
        <w:rPr>
          <w:rFonts w:hint="eastAsia" w:asciiTheme="minorEastAsia" w:hAnsiTheme="minorEastAsia" w:eastAsiaTheme="minorEastAsia" w:cstheme="minorEastAsia"/>
          <w:b/>
          <w:bCs w:val="0"/>
          <w:color w:val="auto"/>
          <w:highlight w:val="none"/>
          <w:lang w:val="en-US" w:eastAsia="zh-CN"/>
        </w:rPr>
        <w:t>5</w:t>
      </w:r>
      <w:r>
        <w:rPr>
          <w:rFonts w:hint="eastAsia"/>
          <w:color w:val="auto"/>
          <w:highlight w:val="none"/>
        </w:rPr>
        <w:t xml:space="preserve">  施工前应熟悉和审查施工图纸，并应掌握设计意图与要求。应实行自审、会审（交底）和签证制度；对施工图有疑问或发现差错时，应及时提出意见和建议。当需变更设计时，应按相应程序报审，并应经相关单位签证认定后实施。</w:t>
      </w:r>
    </w:p>
    <w:p w14:paraId="09594291">
      <w:pPr>
        <w:rPr>
          <w:rFonts w:hint="eastAsia"/>
          <w:color w:val="auto"/>
          <w:highlight w:val="none"/>
        </w:rPr>
      </w:pPr>
      <w:r>
        <w:rPr>
          <w:rFonts w:hint="eastAsia" w:asciiTheme="minorEastAsia" w:hAnsiTheme="minorEastAsia" w:eastAsiaTheme="minorEastAsia" w:cstheme="minorEastAsia"/>
          <w:b/>
          <w:bCs w:val="0"/>
          <w:color w:val="auto"/>
          <w:highlight w:val="none"/>
          <w:lang w:val="en-US" w:eastAsia="zh-CN"/>
        </w:rPr>
        <w:t>9</w:t>
      </w:r>
      <w:r>
        <w:rPr>
          <w:rFonts w:hint="eastAsia" w:asciiTheme="minorEastAsia" w:hAnsiTheme="minorEastAsia" w:eastAsiaTheme="minorEastAsia" w:cstheme="minorEastAsia"/>
          <w:b/>
          <w:bCs w:val="0"/>
          <w:color w:val="auto"/>
          <w:highlight w:val="none"/>
        </w:rPr>
        <w:t>.1.</w:t>
      </w:r>
      <w:r>
        <w:rPr>
          <w:rFonts w:hint="eastAsia" w:asciiTheme="minorEastAsia" w:hAnsiTheme="minorEastAsia" w:eastAsiaTheme="minorEastAsia" w:cstheme="minorEastAsia"/>
          <w:b/>
          <w:bCs w:val="0"/>
          <w:color w:val="auto"/>
          <w:highlight w:val="none"/>
          <w:lang w:val="en-US" w:eastAsia="zh-CN"/>
        </w:rPr>
        <w:t>6</w:t>
      </w:r>
      <w:r>
        <w:rPr>
          <w:rFonts w:hint="eastAsia"/>
          <w:color w:val="auto"/>
          <w:highlight w:val="none"/>
        </w:rPr>
        <w:t xml:space="preserve">  施工前应根据工程需要进行下列调查：</w:t>
      </w:r>
    </w:p>
    <w:p w14:paraId="7BB7ADAD">
      <w:pPr>
        <w:ind w:left="420" w:leftChars="200"/>
        <w:rPr>
          <w:rFonts w:hint="eastAsia" w:ascii="Times New Roman" w:hAnsi="Times New Roman"/>
          <w:color w:val="auto"/>
          <w:highlight w:val="none"/>
        </w:rPr>
      </w:pPr>
      <w:r>
        <w:rPr>
          <w:rFonts w:hint="eastAsia" w:ascii="Times New Roman" w:hAnsi="Times New Roman"/>
          <w:color w:val="auto"/>
          <w:highlight w:val="none"/>
        </w:rPr>
        <w:t>1现场地形、地貌、地下管线、地下构造物、其他设施和障碍物情况；</w:t>
      </w:r>
    </w:p>
    <w:p w14:paraId="125B1636">
      <w:pPr>
        <w:ind w:left="420" w:leftChars="200"/>
        <w:rPr>
          <w:rFonts w:hint="eastAsia" w:ascii="Times New Roman" w:hAnsi="Times New Roman"/>
          <w:color w:val="auto"/>
          <w:highlight w:val="none"/>
        </w:rPr>
      </w:pPr>
      <w:r>
        <w:rPr>
          <w:rFonts w:hint="eastAsia" w:ascii="Times New Roman" w:hAnsi="Times New Roman"/>
          <w:color w:val="auto"/>
          <w:highlight w:val="none"/>
        </w:rPr>
        <w:t>2工程用地、交通运输、施工便道及其他环境条件；</w:t>
      </w:r>
    </w:p>
    <w:p w14:paraId="0A14CCA9">
      <w:pPr>
        <w:ind w:left="420" w:leftChars="200"/>
        <w:rPr>
          <w:rFonts w:hint="eastAsia" w:ascii="Times New Roman" w:hAnsi="Times New Roman"/>
          <w:color w:val="auto"/>
          <w:highlight w:val="none"/>
        </w:rPr>
      </w:pPr>
      <w:r>
        <w:rPr>
          <w:rFonts w:hint="eastAsia" w:ascii="Times New Roman" w:hAnsi="Times New Roman"/>
          <w:color w:val="auto"/>
          <w:highlight w:val="none"/>
        </w:rPr>
        <w:t>3施工给水、雨水、污水、动力及其他条件；</w:t>
      </w:r>
    </w:p>
    <w:p w14:paraId="7235C4CA">
      <w:pPr>
        <w:ind w:left="420" w:leftChars="200"/>
        <w:rPr>
          <w:rFonts w:hint="eastAsia" w:ascii="Times New Roman" w:hAnsi="Times New Roman"/>
          <w:color w:val="auto"/>
          <w:highlight w:val="none"/>
        </w:rPr>
      </w:pPr>
      <w:r>
        <w:rPr>
          <w:rFonts w:hint="eastAsia" w:ascii="Times New Roman" w:hAnsi="Times New Roman"/>
          <w:color w:val="auto"/>
          <w:highlight w:val="none"/>
        </w:rPr>
        <w:t>4工程材料、施工机械、主要设备和特种物资情况；</w:t>
      </w:r>
    </w:p>
    <w:p w14:paraId="228DD31D">
      <w:pPr>
        <w:ind w:left="420" w:leftChars="200"/>
        <w:rPr>
          <w:rFonts w:hint="eastAsia" w:ascii="Times New Roman" w:hAnsi="Times New Roman"/>
          <w:color w:val="auto"/>
          <w:highlight w:val="none"/>
        </w:rPr>
      </w:pPr>
      <w:r>
        <w:rPr>
          <w:rFonts w:hint="eastAsia" w:ascii="Times New Roman" w:hAnsi="Times New Roman"/>
          <w:color w:val="auto"/>
          <w:highlight w:val="none"/>
        </w:rPr>
        <w:t>5地表水水文资料；</w:t>
      </w:r>
    </w:p>
    <w:p w14:paraId="043DB649">
      <w:pPr>
        <w:ind w:left="420" w:leftChars="200"/>
        <w:rPr>
          <w:rFonts w:hint="eastAsia" w:ascii="Times New Roman" w:hAnsi="Times New Roman"/>
          <w:color w:val="auto"/>
          <w:highlight w:val="none"/>
        </w:rPr>
      </w:pPr>
      <w:r>
        <w:rPr>
          <w:rFonts w:hint="eastAsia" w:ascii="Times New Roman" w:hAnsi="Times New Roman"/>
          <w:color w:val="auto"/>
          <w:highlight w:val="none"/>
        </w:rPr>
        <w:t>6与施工有关的其他情况和资料。</w:t>
      </w:r>
    </w:p>
    <w:p w14:paraId="5FEE7886">
      <w:pPr>
        <w:rPr>
          <w:rFonts w:ascii="宋体" w:hAnsi="宋体" w:cs="黑体"/>
          <w:color w:val="auto"/>
          <w:highlight w:val="none"/>
        </w:rPr>
      </w:pPr>
      <w:r>
        <w:rPr>
          <w:rFonts w:hint="eastAsia" w:ascii="宋体" w:hAnsi="宋体" w:cs="黑体"/>
          <w:color w:val="auto"/>
          <w:highlight w:val="none"/>
        </w:rPr>
        <w:t>【</w:t>
      </w:r>
      <w:r>
        <w:rPr>
          <w:rFonts w:hint="eastAsia" w:ascii="宋体" w:hAnsi="宋体" w:cs="黑体"/>
          <w:b/>
          <w:bCs/>
          <w:color w:val="auto"/>
          <w:highlight w:val="none"/>
        </w:rPr>
        <w:t>条文说明</w:t>
      </w:r>
      <w:r>
        <w:rPr>
          <w:rFonts w:hint="eastAsia" w:ascii="宋体" w:hAnsi="宋体" w:cs="黑体"/>
          <w:b/>
          <w:bCs/>
          <w:color w:val="auto"/>
          <w:highlight w:val="none"/>
          <w:lang w:eastAsia="zh-CN"/>
        </w:rPr>
        <w:t>：</w:t>
      </w:r>
      <w:r>
        <w:rPr>
          <w:rFonts w:hint="eastAsia" w:ascii="宋体" w:hAnsi="宋体" w:cs="黑体"/>
          <w:color w:val="auto"/>
          <w:highlight w:val="none"/>
          <w:lang w:val="en-US" w:eastAsia="zh-CN"/>
        </w:rPr>
        <w:t>小型综合</w:t>
      </w:r>
      <w:r>
        <w:rPr>
          <w:rFonts w:hint="eastAsia"/>
          <w:color w:val="auto"/>
          <w:highlight w:val="none"/>
        </w:rPr>
        <w:t>管廊一般建设在城市的中心地区，同时涉及的线长面广，施工组织和管理的难度大。为了保证施工的顺利，应当对施工现场、地下管线和构造物等进行详尽的调查，并了解施工临时用水、用电的供给情况</w:t>
      </w:r>
      <w:r>
        <w:rPr>
          <w:rFonts w:hint="eastAsia" w:ascii="宋体" w:hAnsi="宋体" w:cs="黑体"/>
          <w:color w:val="auto"/>
          <w:highlight w:val="none"/>
        </w:rPr>
        <w:t>。】</w:t>
      </w:r>
    </w:p>
    <w:p w14:paraId="4AD30E04">
      <w:pPr>
        <w:rPr>
          <w:rFonts w:ascii="宋体" w:hAnsi="宋体" w:cs="黑体"/>
          <w:color w:val="auto"/>
          <w:highlight w:val="none"/>
        </w:rPr>
      </w:pPr>
      <w:r>
        <w:rPr>
          <w:rFonts w:hint="eastAsia" w:ascii="黑体" w:hAnsi="黑体" w:eastAsia="黑体" w:cs="黑体"/>
          <w:b/>
          <w:bCs/>
          <w:color w:val="auto"/>
          <w:highlight w:val="none"/>
        </w:rPr>
        <w:t>9</w:t>
      </w:r>
      <w:r>
        <w:rPr>
          <w:rFonts w:ascii="黑体" w:hAnsi="黑体" w:eastAsia="黑体" w:cs="黑体"/>
          <w:b/>
          <w:bCs/>
          <w:color w:val="auto"/>
          <w:highlight w:val="none"/>
        </w:rPr>
        <w:t>.</w:t>
      </w:r>
      <w:r>
        <w:rPr>
          <w:rFonts w:hint="eastAsia" w:ascii="黑体" w:hAnsi="黑体" w:eastAsia="黑体" w:cs="黑体"/>
          <w:b/>
          <w:bCs/>
          <w:color w:val="auto"/>
          <w:highlight w:val="none"/>
          <w:lang w:val="en-US" w:eastAsia="zh-CN"/>
        </w:rPr>
        <w:t>1.7</w:t>
      </w:r>
      <w:r>
        <w:rPr>
          <w:rFonts w:ascii="黑体" w:hAnsi="黑体" w:eastAsia="黑体" w:cs="黑体"/>
          <w:b/>
          <w:bCs/>
          <w:color w:val="auto"/>
          <w:highlight w:val="none"/>
        </w:rPr>
        <w:t xml:space="preserve"> </w:t>
      </w:r>
      <w:r>
        <w:rPr>
          <w:rFonts w:hint="eastAsia" w:ascii="宋体" w:hAnsi="宋体" w:cs="黑体"/>
          <w:color w:val="auto"/>
          <w:highlight w:val="none"/>
        </w:rPr>
        <w:t>小型综合</w:t>
      </w:r>
      <w:r>
        <w:rPr>
          <w:rFonts w:ascii="宋体" w:hAnsi="宋体" w:cs="黑体"/>
          <w:color w:val="auto"/>
          <w:highlight w:val="none"/>
        </w:rPr>
        <w:t>管廊防水工程施工及质量验收</w:t>
      </w:r>
      <w:r>
        <w:rPr>
          <w:rFonts w:hint="eastAsia" w:ascii="宋体" w:hAnsi="宋体" w:cs="黑体"/>
          <w:color w:val="auto"/>
          <w:highlight w:val="none"/>
        </w:rPr>
        <w:t>应符合现行工程建设强制性国家规范《建筑与市政工程防水通用规范》GB55030和</w:t>
      </w:r>
      <w:r>
        <w:rPr>
          <w:rFonts w:ascii="宋体" w:hAnsi="宋体" w:cs="黑体"/>
          <w:color w:val="auto"/>
          <w:highlight w:val="none"/>
        </w:rPr>
        <w:t>现行国家标准《地下防水工程质量验收规范》GB 50208的有关规定。</w:t>
      </w:r>
      <w:r>
        <w:rPr>
          <w:rFonts w:hint="eastAsia" w:ascii="宋体" w:hAnsi="宋体" w:cs="黑体"/>
          <w:color w:val="auto"/>
          <w:highlight w:val="none"/>
          <w:lang w:eastAsia="zh-CN"/>
        </w:rPr>
        <w:t>【</w:t>
      </w:r>
      <w:r>
        <w:rPr>
          <w:rFonts w:hint="eastAsia" w:ascii="宋体" w:hAnsi="宋体" w:cs="黑体"/>
          <w:color w:val="auto"/>
          <w:highlight w:val="none"/>
          <w:lang w:val="en-US" w:eastAsia="zh-CN"/>
        </w:rPr>
        <w:t>本条新增。理由：</w:t>
      </w:r>
      <w:r>
        <w:rPr>
          <w:rFonts w:hint="eastAsia" w:ascii="宋体" w:hAnsi="宋体" w:cs="黑体"/>
          <w:color w:val="auto"/>
          <w:highlight w:val="none"/>
        </w:rPr>
        <w:t>现行工程建设强制性国家规范《建筑与市政工程防水通用规范》</w:t>
      </w:r>
      <w:r>
        <w:rPr>
          <w:rFonts w:hint="eastAsia" w:ascii="宋体" w:hAnsi="宋体" w:cs="黑体"/>
          <w:color w:val="auto"/>
          <w:highlight w:val="none"/>
          <w:lang w:val="en-US" w:eastAsia="zh-CN"/>
        </w:rPr>
        <w:t>中含防水施工与验收相关内容，也应执行</w:t>
      </w:r>
      <w:r>
        <w:rPr>
          <w:rFonts w:hint="eastAsia" w:ascii="宋体" w:hAnsi="宋体" w:cs="黑体"/>
          <w:color w:val="auto"/>
          <w:highlight w:val="none"/>
          <w:lang w:eastAsia="zh-CN"/>
        </w:rPr>
        <w:t>】</w:t>
      </w:r>
    </w:p>
    <w:p w14:paraId="038847CD">
      <w:pPr>
        <w:rPr>
          <w:rFonts w:hint="eastAsia"/>
          <w:color w:val="auto"/>
          <w:highlight w:val="none"/>
        </w:rPr>
      </w:pPr>
      <w:r>
        <w:rPr>
          <w:rFonts w:hint="eastAsia" w:asciiTheme="minorEastAsia" w:hAnsiTheme="minorEastAsia" w:eastAsiaTheme="minorEastAsia" w:cstheme="minorEastAsia"/>
          <w:b/>
          <w:bCs w:val="0"/>
          <w:color w:val="auto"/>
          <w:highlight w:val="none"/>
          <w:lang w:val="en-US" w:eastAsia="zh-CN"/>
        </w:rPr>
        <w:t>9</w:t>
      </w:r>
      <w:r>
        <w:rPr>
          <w:rFonts w:hint="eastAsia" w:asciiTheme="minorEastAsia" w:hAnsiTheme="minorEastAsia" w:eastAsiaTheme="minorEastAsia" w:cstheme="minorEastAsia"/>
          <w:b/>
          <w:bCs w:val="0"/>
          <w:color w:val="auto"/>
          <w:highlight w:val="none"/>
        </w:rPr>
        <w:t>.1.</w:t>
      </w:r>
      <w:r>
        <w:rPr>
          <w:rFonts w:hint="eastAsia" w:asciiTheme="minorEastAsia" w:hAnsiTheme="minorEastAsia" w:eastAsiaTheme="minorEastAsia" w:cstheme="minorEastAsia"/>
          <w:b/>
          <w:bCs w:val="0"/>
          <w:color w:val="auto"/>
          <w:highlight w:val="none"/>
          <w:lang w:val="en-US" w:eastAsia="zh-CN"/>
        </w:rPr>
        <w:t>8</w:t>
      </w:r>
      <w:r>
        <w:rPr>
          <w:rFonts w:hint="eastAsia"/>
          <w:color w:val="auto"/>
          <w:highlight w:val="none"/>
        </w:rPr>
        <w:t xml:space="preserve"> </w:t>
      </w:r>
      <w:r>
        <w:rPr>
          <w:rFonts w:hint="default"/>
          <w:color w:val="auto"/>
          <w:highlight w:val="none"/>
          <w:lang w:val="en-US" w:eastAsia="zh-CN"/>
        </w:rPr>
        <w:t>小型综合</w:t>
      </w:r>
      <w:r>
        <w:rPr>
          <w:rFonts w:hint="eastAsia"/>
          <w:color w:val="auto"/>
          <w:highlight w:val="none"/>
        </w:rPr>
        <w:t>管廊工程应经过竣工验收合格后，方可投入使用。</w:t>
      </w:r>
    </w:p>
    <w:p w14:paraId="0826F3AC">
      <w:pPr>
        <w:pStyle w:val="34"/>
        <w:spacing w:before="156" w:beforeLines="50" w:after="156" w:afterLines="50" w:line="400" w:lineRule="exact"/>
        <w:outlineLvl w:val="2"/>
        <w:rPr>
          <w:rFonts w:ascii="黑体" w:hAnsi="黑体" w:cs="黑体"/>
          <w:color w:val="auto"/>
          <w:sz w:val="21"/>
          <w:szCs w:val="21"/>
          <w:highlight w:val="none"/>
        </w:rPr>
      </w:pPr>
      <w:bookmarkStart w:id="163" w:name="_Toc16804"/>
      <w:bookmarkStart w:id="164" w:name="_Toc28334"/>
      <w:bookmarkStart w:id="165" w:name="_Toc14079"/>
      <w:r>
        <w:rPr>
          <w:rFonts w:hint="eastAsia" w:ascii="黑体" w:hAnsi="黑体" w:cs="黑体"/>
          <w:color w:val="auto"/>
          <w:sz w:val="21"/>
          <w:szCs w:val="21"/>
          <w:highlight w:val="none"/>
        </w:rPr>
        <w:t>9</w:t>
      </w:r>
      <w:r>
        <w:rPr>
          <w:rFonts w:ascii="黑体" w:hAnsi="黑体" w:cs="黑体"/>
          <w:color w:val="auto"/>
          <w:sz w:val="21"/>
          <w:szCs w:val="21"/>
          <w:highlight w:val="none"/>
        </w:rPr>
        <w:t>.2</w:t>
      </w:r>
      <w:r>
        <w:rPr>
          <w:rFonts w:hint="eastAsia" w:ascii="黑体" w:hAnsi="黑体" w:cs="黑体"/>
          <w:color w:val="auto"/>
          <w:sz w:val="21"/>
          <w:szCs w:val="21"/>
          <w:highlight w:val="none"/>
        </w:rPr>
        <w:t xml:space="preserve"> </w:t>
      </w:r>
      <w:r>
        <w:rPr>
          <w:rFonts w:hint="eastAsia" w:ascii="黑体" w:hAnsi="黑体" w:cs="黑体"/>
          <w:color w:val="auto"/>
          <w:sz w:val="21"/>
          <w:szCs w:val="21"/>
          <w:highlight w:val="none"/>
          <w:lang w:val="en-US" w:eastAsia="zh-CN"/>
        </w:rPr>
        <w:t>基础</w:t>
      </w:r>
      <w:r>
        <w:rPr>
          <w:rFonts w:ascii="黑体" w:hAnsi="黑体" w:cs="黑体"/>
          <w:color w:val="auto"/>
          <w:sz w:val="21"/>
          <w:szCs w:val="21"/>
          <w:highlight w:val="none"/>
        </w:rPr>
        <w:t>工程</w:t>
      </w:r>
      <w:bookmarkEnd w:id="163"/>
      <w:bookmarkEnd w:id="164"/>
      <w:bookmarkEnd w:id="165"/>
    </w:p>
    <w:p w14:paraId="44E996A8">
      <w:pPr>
        <w:rPr>
          <w:color w:val="auto"/>
          <w:highlight w:val="none"/>
        </w:rPr>
      </w:pPr>
      <w:r>
        <w:rPr>
          <w:rFonts w:hint="eastAsia" w:asciiTheme="minorEastAsia" w:hAnsiTheme="minorEastAsia" w:eastAsiaTheme="minorEastAsia" w:cstheme="minorEastAsia"/>
          <w:b/>
          <w:bCs/>
          <w:color w:val="auto"/>
          <w:highlight w:val="none"/>
          <w:lang w:val="en-US" w:eastAsia="zh-CN"/>
        </w:rPr>
        <w:t>9</w:t>
      </w:r>
      <w:r>
        <w:rPr>
          <w:rFonts w:hint="eastAsia" w:asciiTheme="minorEastAsia" w:hAnsiTheme="minorEastAsia" w:eastAsiaTheme="minorEastAsia" w:cstheme="minorEastAsia"/>
          <w:b/>
          <w:bCs/>
          <w:color w:val="auto"/>
          <w:highlight w:val="none"/>
        </w:rPr>
        <w:t xml:space="preserve">.2.1 </w:t>
      </w:r>
      <w:r>
        <w:rPr>
          <w:rFonts w:hint="eastAsia"/>
          <w:color w:val="auto"/>
          <w:highlight w:val="none"/>
          <w:lang w:val="en-US" w:eastAsia="zh-CN"/>
        </w:rPr>
        <w:t>小型综合</w:t>
      </w:r>
      <w:r>
        <w:rPr>
          <w:color w:val="auto"/>
          <w:highlight w:val="none"/>
        </w:rPr>
        <w:t>管廊工程基坑（槽）开挖前，应根据围护结构的类型、工程水文地质条件、施工工艺和地面荷载等因素制定施工方案。</w:t>
      </w:r>
    </w:p>
    <w:p w14:paraId="05FAC845">
      <w:pPr>
        <w:rPr>
          <w:color w:val="auto"/>
          <w:highlight w:val="none"/>
        </w:rPr>
      </w:pPr>
      <w:r>
        <w:rPr>
          <w:rFonts w:hint="eastAsia" w:asciiTheme="minorEastAsia" w:hAnsiTheme="minorEastAsia" w:eastAsiaTheme="minorEastAsia" w:cstheme="minorEastAsia"/>
          <w:b/>
          <w:bCs/>
          <w:color w:val="auto"/>
          <w:highlight w:val="none"/>
          <w:lang w:val="en-US" w:eastAsia="zh-CN"/>
        </w:rPr>
        <w:t>9</w:t>
      </w:r>
      <w:r>
        <w:rPr>
          <w:rFonts w:hint="eastAsia" w:asciiTheme="minorEastAsia" w:hAnsiTheme="minorEastAsia" w:eastAsiaTheme="minorEastAsia" w:cstheme="minorEastAsia"/>
          <w:b/>
          <w:bCs/>
          <w:color w:val="auto"/>
          <w:highlight w:val="none"/>
        </w:rPr>
        <w:t>.2.</w:t>
      </w:r>
      <w:r>
        <w:rPr>
          <w:rFonts w:hint="eastAsia" w:asciiTheme="minorEastAsia" w:hAnsiTheme="minorEastAsia" w:eastAsiaTheme="minorEastAsia" w:cstheme="minorEastAsia"/>
          <w:b/>
          <w:bCs/>
          <w:color w:val="auto"/>
          <w:highlight w:val="none"/>
          <w:lang w:val="en-US" w:eastAsia="zh-CN"/>
        </w:rPr>
        <w:t>2</w:t>
      </w:r>
      <w:r>
        <w:rPr>
          <w:color w:val="auto"/>
          <w:highlight w:val="none"/>
        </w:rPr>
        <w:t xml:space="preserve"> 土石方爆破必须按照国家有关部门规定，由专业单位进行施工。</w:t>
      </w:r>
    </w:p>
    <w:p w14:paraId="7233A997">
      <w:pPr>
        <w:rPr>
          <w:color w:val="auto"/>
          <w:highlight w:val="none"/>
        </w:rPr>
      </w:pPr>
      <w:r>
        <w:rPr>
          <w:rFonts w:hint="eastAsia" w:asciiTheme="minorEastAsia" w:hAnsiTheme="minorEastAsia" w:eastAsiaTheme="minorEastAsia" w:cstheme="minorEastAsia"/>
          <w:b/>
          <w:bCs/>
          <w:color w:val="auto"/>
          <w:highlight w:val="none"/>
          <w:lang w:val="en-US" w:eastAsia="zh-CN"/>
        </w:rPr>
        <w:t>9</w:t>
      </w:r>
      <w:r>
        <w:rPr>
          <w:rFonts w:hint="eastAsia" w:asciiTheme="minorEastAsia" w:hAnsiTheme="minorEastAsia" w:eastAsiaTheme="minorEastAsia" w:cstheme="minorEastAsia"/>
          <w:b/>
          <w:bCs/>
          <w:color w:val="auto"/>
          <w:highlight w:val="none"/>
        </w:rPr>
        <w:t>.2.</w:t>
      </w:r>
      <w:r>
        <w:rPr>
          <w:rFonts w:hint="eastAsia" w:asciiTheme="minorEastAsia" w:hAnsiTheme="minorEastAsia" w:eastAsiaTheme="minorEastAsia" w:cstheme="minorEastAsia"/>
          <w:b/>
          <w:bCs/>
          <w:color w:val="auto"/>
          <w:highlight w:val="none"/>
          <w:lang w:val="en-US" w:eastAsia="zh-CN"/>
        </w:rPr>
        <w:t>3</w:t>
      </w:r>
      <w:r>
        <w:rPr>
          <w:rFonts w:hint="eastAsia" w:asciiTheme="minorEastAsia" w:hAnsiTheme="minorEastAsia" w:eastAsiaTheme="minorEastAsia" w:cstheme="minorEastAsia"/>
          <w:b/>
          <w:bCs/>
          <w:color w:val="auto"/>
          <w:highlight w:val="none"/>
        </w:rPr>
        <w:t xml:space="preserve"> </w:t>
      </w:r>
      <w:r>
        <w:rPr>
          <w:color w:val="auto"/>
          <w:highlight w:val="none"/>
        </w:rPr>
        <w:t>基坑回填应在</w:t>
      </w:r>
      <w:r>
        <w:rPr>
          <w:rFonts w:hint="eastAsia"/>
          <w:color w:val="auto"/>
          <w:highlight w:val="none"/>
          <w:lang w:val="en-US" w:eastAsia="zh-CN"/>
        </w:rPr>
        <w:t>小型综合</w:t>
      </w:r>
      <w:r>
        <w:rPr>
          <w:color w:val="auto"/>
          <w:highlight w:val="none"/>
        </w:rPr>
        <w:t>管廊结构及防水工程验收合格后进行。回填材料应符合设计要求及国家现行标准的有关规定。</w:t>
      </w:r>
    </w:p>
    <w:p w14:paraId="032F9BE0">
      <w:pPr>
        <w:rPr>
          <w:rFonts w:ascii="宋体" w:hAnsi="宋体" w:cs="黑体"/>
          <w:color w:val="auto"/>
          <w:highlight w:val="none"/>
        </w:rPr>
      </w:pPr>
      <w:r>
        <w:rPr>
          <w:rFonts w:hint="eastAsia" w:ascii="宋体" w:hAnsi="宋体" w:cs="黑体"/>
          <w:color w:val="auto"/>
          <w:highlight w:val="none"/>
        </w:rPr>
        <w:t>【</w:t>
      </w:r>
      <w:r>
        <w:rPr>
          <w:rFonts w:hint="eastAsia" w:ascii="宋体" w:hAnsi="宋体" w:cs="黑体"/>
          <w:b/>
          <w:bCs/>
          <w:color w:val="auto"/>
          <w:highlight w:val="none"/>
        </w:rPr>
        <w:t>条文说明</w:t>
      </w:r>
      <w:r>
        <w:rPr>
          <w:rFonts w:hint="eastAsia" w:ascii="宋体" w:hAnsi="宋体" w:cs="黑体"/>
          <w:b/>
          <w:bCs/>
          <w:color w:val="auto"/>
          <w:highlight w:val="none"/>
          <w:lang w:eastAsia="zh-CN"/>
        </w:rPr>
        <w:t>：</w:t>
      </w:r>
      <w:r>
        <w:rPr>
          <w:rFonts w:hint="eastAsia" w:ascii="宋体" w:hAnsi="宋体" w:cs="黑体"/>
          <w:color w:val="auto"/>
          <w:highlight w:val="none"/>
        </w:rPr>
        <w:t>小型综合管廊基坑的回填应尽快进行，以免长期暴露导致地下水和地表水侵入基坑。根据地下工程的验收要求，应当首先通过结构和防水工程验收合格后，方能够进行下道工序的施工。】</w:t>
      </w:r>
    </w:p>
    <w:p w14:paraId="12E36361">
      <w:pPr>
        <w:rPr>
          <w:color w:val="auto"/>
          <w:highlight w:val="none"/>
        </w:rPr>
      </w:pPr>
      <w:r>
        <w:rPr>
          <w:rFonts w:hint="eastAsia" w:asciiTheme="minorEastAsia" w:hAnsiTheme="minorEastAsia" w:eastAsiaTheme="minorEastAsia" w:cstheme="minorEastAsia"/>
          <w:b/>
          <w:bCs/>
          <w:color w:val="auto"/>
          <w:highlight w:val="none"/>
          <w:lang w:val="en-US" w:eastAsia="zh-CN"/>
        </w:rPr>
        <w:t>9</w:t>
      </w:r>
      <w:r>
        <w:rPr>
          <w:rFonts w:hint="eastAsia" w:asciiTheme="minorEastAsia" w:hAnsiTheme="minorEastAsia" w:eastAsiaTheme="minorEastAsia" w:cstheme="minorEastAsia"/>
          <w:b/>
          <w:bCs/>
          <w:color w:val="auto"/>
          <w:highlight w:val="none"/>
        </w:rPr>
        <w:t>.2.</w:t>
      </w:r>
      <w:r>
        <w:rPr>
          <w:rFonts w:hint="eastAsia" w:asciiTheme="minorEastAsia" w:hAnsiTheme="minorEastAsia" w:eastAsiaTheme="minorEastAsia" w:cstheme="minorEastAsia"/>
          <w:b/>
          <w:bCs/>
          <w:color w:val="auto"/>
          <w:highlight w:val="none"/>
          <w:lang w:val="en-US" w:eastAsia="zh-CN"/>
        </w:rPr>
        <w:t>4</w:t>
      </w:r>
      <w:r>
        <w:rPr>
          <w:rFonts w:hint="eastAsia" w:asciiTheme="minorEastAsia" w:hAnsiTheme="minorEastAsia" w:eastAsiaTheme="minorEastAsia" w:cstheme="minorEastAsia"/>
          <w:b/>
          <w:bCs/>
          <w:color w:val="auto"/>
          <w:highlight w:val="none"/>
        </w:rPr>
        <w:t xml:space="preserve"> </w:t>
      </w:r>
      <w:r>
        <w:rPr>
          <w:rFonts w:hint="eastAsia"/>
          <w:color w:val="auto"/>
          <w:highlight w:val="none"/>
          <w:lang w:val="en-US" w:eastAsia="zh-CN"/>
        </w:rPr>
        <w:t>小型综合管廊两侧回填应对称、分层、均匀。管廊顶板上部1000mm范围内回填材料应采用人工分层夯实，大型碾压机不得直接在管廊顶板上部施工</w:t>
      </w:r>
      <w:r>
        <w:rPr>
          <w:color w:val="auto"/>
          <w:highlight w:val="none"/>
        </w:rPr>
        <w:t>。</w:t>
      </w:r>
    </w:p>
    <w:p w14:paraId="0B27CE09">
      <w:pPr>
        <w:rPr>
          <w:color w:val="auto"/>
          <w:highlight w:val="none"/>
        </w:rPr>
      </w:pPr>
      <w:r>
        <w:rPr>
          <w:rFonts w:hint="eastAsia" w:asciiTheme="minorEastAsia" w:hAnsiTheme="minorEastAsia" w:eastAsiaTheme="minorEastAsia" w:cstheme="minorEastAsia"/>
          <w:b/>
          <w:bCs/>
          <w:color w:val="auto"/>
          <w:highlight w:val="none"/>
          <w:lang w:val="en-US" w:eastAsia="zh-CN"/>
        </w:rPr>
        <w:t>9</w:t>
      </w:r>
      <w:r>
        <w:rPr>
          <w:rFonts w:hint="eastAsia" w:asciiTheme="minorEastAsia" w:hAnsiTheme="minorEastAsia" w:eastAsiaTheme="minorEastAsia" w:cstheme="minorEastAsia"/>
          <w:b/>
          <w:bCs/>
          <w:color w:val="auto"/>
          <w:highlight w:val="none"/>
        </w:rPr>
        <w:t>.2.</w:t>
      </w:r>
      <w:r>
        <w:rPr>
          <w:rFonts w:hint="eastAsia" w:asciiTheme="minorEastAsia" w:hAnsiTheme="minorEastAsia" w:eastAsiaTheme="minorEastAsia" w:cstheme="minorEastAsia"/>
          <w:b/>
          <w:bCs/>
          <w:color w:val="auto"/>
          <w:highlight w:val="none"/>
          <w:lang w:val="en-US" w:eastAsia="zh-CN"/>
        </w:rPr>
        <w:t>5</w:t>
      </w:r>
      <w:r>
        <w:rPr>
          <w:color w:val="auto"/>
          <w:highlight w:val="none"/>
        </w:rPr>
        <w:t xml:space="preserve"> </w:t>
      </w:r>
      <w:r>
        <w:rPr>
          <w:rFonts w:hint="eastAsia"/>
          <w:color w:val="auto"/>
          <w:highlight w:val="none"/>
          <w:lang w:val="en-US" w:eastAsia="zh-CN"/>
        </w:rPr>
        <w:t>小型综合</w:t>
      </w:r>
      <w:r>
        <w:rPr>
          <w:color w:val="auto"/>
          <w:highlight w:val="none"/>
        </w:rPr>
        <w:t>管廊回填土压实度应符合设计要求。当设计无要求时，应符合表</w:t>
      </w:r>
      <w:r>
        <w:rPr>
          <w:rFonts w:hint="eastAsia"/>
          <w:color w:val="auto"/>
          <w:highlight w:val="none"/>
          <w:lang w:val="en-US" w:eastAsia="zh-CN"/>
        </w:rPr>
        <w:t>9.2.5</w:t>
      </w:r>
      <w:r>
        <w:rPr>
          <w:color w:val="auto"/>
          <w:highlight w:val="none"/>
        </w:rPr>
        <w:t>的规定。</w:t>
      </w:r>
    </w:p>
    <w:p w14:paraId="3627FF1F">
      <w:pPr>
        <w:ind w:firstLine="0"/>
        <w:jc w:val="center"/>
        <w:rPr>
          <w:color w:val="auto"/>
          <w:highlight w:val="none"/>
        </w:rPr>
      </w:pPr>
      <w:r>
        <w:rPr>
          <w:rFonts w:hint="eastAsia" w:asciiTheme="minorEastAsia" w:hAnsiTheme="minorEastAsia" w:eastAsiaTheme="minorEastAsia"/>
          <w:color w:val="auto"/>
          <w:highlight w:val="none"/>
        </w:rPr>
        <w:t>表9</w:t>
      </w:r>
      <w:r>
        <w:rPr>
          <w:rFonts w:hint="eastAsia" w:asciiTheme="minorEastAsia" w:hAnsiTheme="minorEastAsia" w:eastAsiaTheme="minorEastAsia"/>
          <w:color w:val="auto"/>
          <w:highlight w:val="none"/>
          <w:lang w:val="en-US" w:eastAsia="zh-CN"/>
        </w:rPr>
        <w:t>.2.5</w:t>
      </w:r>
      <w:r>
        <w:rPr>
          <w:rFonts w:hint="eastAsia" w:asciiTheme="minorEastAsia" w:hAnsiTheme="minorEastAsia" w:eastAsiaTheme="minorEastAsia"/>
          <w:color w:val="auto"/>
          <w:highlight w:val="none"/>
        </w:rPr>
        <w:t xml:space="preserve"> </w:t>
      </w:r>
      <w:r>
        <w:rPr>
          <w:rFonts w:hint="eastAsia" w:asciiTheme="minorEastAsia" w:hAnsiTheme="minorEastAsia" w:eastAsiaTheme="minorEastAsia"/>
          <w:color w:val="auto"/>
          <w:highlight w:val="none"/>
          <w:lang w:val="en-US" w:eastAsia="zh-CN"/>
        </w:rPr>
        <w:t>小型综合</w:t>
      </w:r>
      <w:r>
        <w:rPr>
          <w:rFonts w:hint="eastAsia" w:asciiTheme="minorEastAsia" w:hAnsiTheme="minorEastAsia" w:eastAsiaTheme="minorEastAsia"/>
          <w:color w:val="auto"/>
          <w:highlight w:val="none"/>
        </w:rPr>
        <w:t>管廊回填土压实度</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2"/>
        <w:gridCol w:w="1434"/>
        <w:gridCol w:w="976"/>
        <w:gridCol w:w="1842"/>
        <w:gridCol w:w="1498"/>
        <w:gridCol w:w="1621"/>
      </w:tblGrid>
      <w:tr w14:paraId="15461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6" w:type="dxa"/>
            <w:gridSpan w:val="2"/>
            <w:vMerge w:val="restart"/>
            <w:noWrap w:val="0"/>
            <w:vAlign w:val="center"/>
          </w:tcPr>
          <w:p w14:paraId="2A655AD7">
            <w:pPr>
              <w:pStyle w:val="37"/>
              <w:rPr>
                <w:color w:val="auto"/>
                <w:kern w:val="2"/>
                <w:szCs w:val="24"/>
                <w:highlight w:val="none"/>
                <w:lang w:val="en-US" w:eastAsia="zh-CN"/>
              </w:rPr>
            </w:pPr>
            <w:r>
              <w:rPr>
                <w:color w:val="auto"/>
                <w:kern w:val="2"/>
                <w:szCs w:val="24"/>
                <w:highlight w:val="none"/>
                <w:lang w:val="en-US" w:eastAsia="zh-CN"/>
              </w:rPr>
              <w:t>检查项目</w:t>
            </w:r>
          </w:p>
        </w:tc>
        <w:tc>
          <w:tcPr>
            <w:tcW w:w="976" w:type="dxa"/>
            <w:vMerge w:val="restart"/>
            <w:noWrap w:val="0"/>
            <w:vAlign w:val="center"/>
          </w:tcPr>
          <w:p w14:paraId="22BAEE53">
            <w:pPr>
              <w:pStyle w:val="37"/>
              <w:rPr>
                <w:color w:val="auto"/>
                <w:kern w:val="2"/>
                <w:szCs w:val="24"/>
                <w:highlight w:val="none"/>
                <w:lang w:val="en-US" w:eastAsia="zh-CN"/>
              </w:rPr>
            </w:pPr>
            <w:r>
              <w:rPr>
                <w:color w:val="auto"/>
                <w:kern w:val="2"/>
                <w:szCs w:val="24"/>
                <w:highlight w:val="none"/>
                <w:lang w:val="en-US" w:eastAsia="zh-CN"/>
              </w:rPr>
              <w:t>压实度（%）</w:t>
            </w:r>
          </w:p>
        </w:tc>
        <w:tc>
          <w:tcPr>
            <w:tcW w:w="3340" w:type="dxa"/>
            <w:gridSpan w:val="2"/>
            <w:noWrap w:val="0"/>
            <w:vAlign w:val="center"/>
          </w:tcPr>
          <w:p w14:paraId="3F6E64C5">
            <w:pPr>
              <w:pStyle w:val="37"/>
              <w:rPr>
                <w:color w:val="auto"/>
                <w:kern w:val="2"/>
                <w:szCs w:val="24"/>
                <w:highlight w:val="none"/>
                <w:lang w:val="en-US" w:eastAsia="zh-CN"/>
              </w:rPr>
            </w:pPr>
            <w:r>
              <w:rPr>
                <w:color w:val="auto"/>
                <w:kern w:val="2"/>
                <w:szCs w:val="24"/>
                <w:highlight w:val="none"/>
                <w:lang w:val="en-US" w:eastAsia="zh-CN"/>
              </w:rPr>
              <w:t>检查频率</w:t>
            </w:r>
          </w:p>
        </w:tc>
        <w:tc>
          <w:tcPr>
            <w:tcW w:w="1621" w:type="dxa"/>
            <w:vMerge w:val="restart"/>
            <w:noWrap w:val="0"/>
            <w:vAlign w:val="center"/>
          </w:tcPr>
          <w:p w14:paraId="48E165A7">
            <w:pPr>
              <w:pStyle w:val="37"/>
              <w:rPr>
                <w:color w:val="auto"/>
                <w:kern w:val="2"/>
                <w:szCs w:val="24"/>
                <w:highlight w:val="none"/>
                <w:lang w:val="en-US" w:eastAsia="zh-CN"/>
              </w:rPr>
            </w:pPr>
            <w:r>
              <w:rPr>
                <w:color w:val="auto"/>
                <w:kern w:val="2"/>
                <w:szCs w:val="24"/>
                <w:highlight w:val="none"/>
                <w:lang w:val="en-US" w:eastAsia="zh-CN"/>
              </w:rPr>
              <w:t>检查方法</w:t>
            </w:r>
          </w:p>
        </w:tc>
      </w:tr>
      <w:tr w14:paraId="63783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6" w:type="dxa"/>
            <w:gridSpan w:val="2"/>
            <w:vMerge w:val="continue"/>
            <w:noWrap w:val="0"/>
            <w:vAlign w:val="center"/>
          </w:tcPr>
          <w:p w14:paraId="1ACB6570">
            <w:pPr>
              <w:pStyle w:val="37"/>
              <w:rPr>
                <w:color w:val="auto"/>
                <w:kern w:val="2"/>
                <w:szCs w:val="24"/>
                <w:highlight w:val="none"/>
                <w:lang w:val="en-US" w:eastAsia="zh-CN"/>
              </w:rPr>
            </w:pPr>
          </w:p>
        </w:tc>
        <w:tc>
          <w:tcPr>
            <w:tcW w:w="976" w:type="dxa"/>
            <w:vMerge w:val="continue"/>
            <w:noWrap w:val="0"/>
            <w:vAlign w:val="center"/>
          </w:tcPr>
          <w:p w14:paraId="30A3BE78">
            <w:pPr>
              <w:pStyle w:val="37"/>
              <w:rPr>
                <w:color w:val="auto"/>
                <w:kern w:val="2"/>
                <w:szCs w:val="24"/>
                <w:highlight w:val="none"/>
                <w:lang w:val="en-US" w:eastAsia="zh-CN"/>
              </w:rPr>
            </w:pPr>
          </w:p>
        </w:tc>
        <w:tc>
          <w:tcPr>
            <w:tcW w:w="1842" w:type="dxa"/>
            <w:noWrap w:val="0"/>
            <w:vAlign w:val="center"/>
          </w:tcPr>
          <w:p w14:paraId="46EECCD6">
            <w:pPr>
              <w:pStyle w:val="37"/>
              <w:rPr>
                <w:color w:val="auto"/>
                <w:kern w:val="2"/>
                <w:szCs w:val="24"/>
                <w:highlight w:val="none"/>
                <w:lang w:val="en-US" w:eastAsia="zh-CN"/>
              </w:rPr>
            </w:pPr>
            <w:r>
              <w:rPr>
                <w:color w:val="auto"/>
                <w:kern w:val="2"/>
                <w:szCs w:val="24"/>
                <w:highlight w:val="none"/>
                <w:lang w:val="en-US" w:eastAsia="zh-CN"/>
              </w:rPr>
              <w:t>范围</w:t>
            </w:r>
          </w:p>
        </w:tc>
        <w:tc>
          <w:tcPr>
            <w:tcW w:w="1498" w:type="dxa"/>
            <w:noWrap w:val="0"/>
            <w:vAlign w:val="center"/>
          </w:tcPr>
          <w:p w14:paraId="6861D02E">
            <w:pPr>
              <w:pStyle w:val="37"/>
              <w:rPr>
                <w:color w:val="auto"/>
                <w:kern w:val="2"/>
                <w:szCs w:val="24"/>
                <w:highlight w:val="none"/>
                <w:lang w:val="en-US" w:eastAsia="zh-CN"/>
              </w:rPr>
            </w:pPr>
            <w:r>
              <w:rPr>
                <w:color w:val="auto"/>
                <w:kern w:val="2"/>
                <w:szCs w:val="24"/>
                <w:highlight w:val="none"/>
                <w:lang w:val="en-US" w:eastAsia="zh-CN"/>
              </w:rPr>
              <w:t>组数</w:t>
            </w:r>
          </w:p>
        </w:tc>
        <w:tc>
          <w:tcPr>
            <w:tcW w:w="1621" w:type="dxa"/>
            <w:vMerge w:val="continue"/>
            <w:noWrap w:val="0"/>
            <w:vAlign w:val="center"/>
          </w:tcPr>
          <w:p w14:paraId="3D040A12">
            <w:pPr>
              <w:pStyle w:val="37"/>
              <w:rPr>
                <w:color w:val="auto"/>
                <w:kern w:val="2"/>
                <w:szCs w:val="24"/>
                <w:highlight w:val="none"/>
                <w:lang w:val="en-US" w:eastAsia="zh-CN"/>
              </w:rPr>
            </w:pPr>
          </w:p>
        </w:tc>
      </w:tr>
      <w:tr w14:paraId="7EE3F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692" w:type="dxa"/>
            <w:noWrap w:val="0"/>
            <w:vAlign w:val="center"/>
          </w:tcPr>
          <w:p w14:paraId="1F396E96">
            <w:pPr>
              <w:pStyle w:val="37"/>
              <w:rPr>
                <w:color w:val="auto"/>
                <w:kern w:val="2"/>
                <w:szCs w:val="24"/>
                <w:highlight w:val="none"/>
                <w:lang w:val="en-US" w:eastAsia="zh-CN"/>
              </w:rPr>
            </w:pPr>
            <w:r>
              <w:rPr>
                <w:color w:val="auto"/>
                <w:kern w:val="2"/>
                <w:szCs w:val="24"/>
                <w:highlight w:val="none"/>
                <w:lang w:val="en-US" w:eastAsia="zh-CN"/>
              </w:rPr>
              <w:t>1</w:t>
            </w:r>
          </w:p>
        </w:tc>
        <w:tc>
          <w:tcPr>
            <w:tcW w:w="1434" w:type="dxa"/>
            <w:noWrap w:val="0"/>
            <w:vAlign w:val="center"/>
          </w:tcPr>
          <w:p w14:paraId="68B3BC02">
            <w:pPr>
              <w:pStyle w:val="37"/>
              <w:rPr>
                <w:color w:val="auto"/>
                <w:kern w:val="2"/>
                <w:szCs w:val="24"/>
                <w:highlight w:val="none"/>
                <w:lang w:val="en-US" w:eastAsia="zh-CN"/>
              </w:rPr>
            </w:pPr>
            <w:r>
              <w:rPr>
                <w:color w:val="auto"/>
                <w:kern w:val="2"/>
                <w:szCs w:val="24"/>
                <w:highlight w:val="none"/>
                <w:lang w:val="en-US" w:eastAsia="zh-CN"/>
              </w:rPr>
              <w:t>绿化带下</w:t>
            </w:r>
          </w:p>
        </w:tc>
        <w:tc>
          <w:tcPr>
            <w:tcW w:w="976" w:type="dxa"/>
            <w:noWrap w:val="0"/>
            <w:vAlign w:val="center"/>
          </w:tcPr>
          <w:p w14:paraId="18D360F9">
            <w:pPr>
              <w:pStyle w:val="37"/>
              <w:rPr>
                <w:color w:val="auto"/>
                <w:kern w:val="2"/>
                <w:szCs w:val="24"/>
                <w:highlight w:val="none"/>
                <w:lang w:val="en-US" w:eastAsia="zh-CN"/>
              </w:rPr>
            </w:pPr>
            <w:r>
              <w:rPr>
                <w:color w:val="auto"/>
                <w:kern w:val="2"/>
                <w:szCs w:val="24"/>
                <w:highlight w:val="none"/>
                <w:lang w:val="en-US" w:eastAsia="zh-CN"/>
              </w:rPr>
              <w:t>≥90</w:t>
            </w:r>
          </w:p>
        </w:tc>
        <w:tc>
          <w:tcPr>
            <w:tcW w:w="1842" w:type="dxa"/>
            <w:vMerge w:val="restart"/>
            <w:noWrap w:val="0"/>
            <w:vAlign w:val="center"/>
          </w:tcPr>
          <w:p w14:paraId="22CE431B">
            <w:pPr>
              <w:pStyle w:val="37"/>
              <w:rPr>
                <w:color w:val="auto"/>
                <w:kern w:val="2"/>
                <w:szCs w:val="24"/>
                <w:highlight w:val="none"/>
                <w:lang w:val="en-US" w:eastAsia="zh-CN"/>
              </w:rPr>
            </w:pPr>
            <w:r>
              <w:rPr>
                <w:rFonts w:hint="eastAsia"/>
                <w:color w:val="auto"/>
                <w:kern w:val="2"/>
                <w:szCs w:val="24"/>
                <w:highlight w:val="none"/>
                <w:lang w:val="en-US" w:eastAsia="zh-CN"/>
              </w:rPr>
              <w:t>小型综合</w:t>
            </w:r>
            <w:r>
              <w:rPr>
                <w:color w:val="auto"/>
                <w:kern w:val="2"/>
                <w:szCs w:val="24"/>
                <w:highlight w:val="none"/>
                <w:lang w:val="en-US" w:eastAsia="zh-CN"/>
              </w:rPr>
              <w:t>管廊两侧回填土</w:t>
            </w:r>
          </w:p>
          <w:p w14:paraId="715AF1F3">
            <w:pPr>
              <w:pStyle w:val="37"/>
              <w:rPr>
                <w:color w:val="auto"/>
                <w:kern w:val="2"/>
                <w:szCs w:val="24"/>
                <w:highlight w:val="none"/>
                <w:lang w:val="en-US" w:eastAsia="zh-CN"/>
              </w:rPr>
            </w:pPr>
            <w:r>
              <w:rPr>
                <w:color w:val="auto"/>
                <w:kern w:val="2"/>
                <w:szCs w:val="24"/>
                <w:highlight w:val="none"/>
                <w:lang w:val="en-US" w:eastAsia="zh-CN"/>
              </w:rPr>
              <w:t>按50延米/层</w:t>
            </w:r>
          </w:p>
        </w:tc>
        <w:tc>
          <w:tcPr>
            <w:tcW w:w="1498" w:type="dxa"/>
            <w:noWrap w:val="0"/>
            <w:vAlign w:val="center"/>
          </w:tcPr>
          <w:p w14:paraId="7B98FF82">
            <w:pPr>
              <w:pStyle w:val="37"/>
              <w:rPr>
                <w:color w:val="auto"/>
                <w:kern w:val="2"/>
                <w:szCs w:val="24"/>
                <w:highlight w:val="none"/>
                <w:lang w:val="en-US" w:eastAsia="zh-CN"/>
              </w:rPr>
            </w:pPr>
            <w:r>
              <w:rPr>
                <w:color w:val="auto"/>
                <w:kern w:val="2"/>
                <w:szCs w:val="24"/>
                <w:highlight w:val="none"/>
                <w:lang w:val="en-US" w:eastAsia="zh-CN"/>
              </w:rPr>
              <w:t>1（三点）</w:t>
            </w:r>
          </w:p>
        </w:tc>
        <w:tc>
          <w:tcPr>
            <w:tcW w:w="1621" w:type="dxa"/>
            <w:noWrap w:val="0"/>
            <w:vAlign w:val="center"/>
          </w:tcPr>
          <w:p w14:paraId="15A29999">
            <w:pPr>
              <w:pStyle w:val="37"/>
              <w:rPr>
                <w:color w:val="auto"/>
                <w:kern w:val="2"/>
                <w:szCs w:val="24"/>
                <w:highlight w:val="none"/>
                <w:lang w:val="en-US" w:eastAsia="zh-CN"/>
              </w:rPr>
            </w:pPr>
            <w:r>
              <w:rPr>
                <w:color w:val="auto"/>
                <w:kern w:val="2"/>
                <w:szCs w:val="24"/>
                <w:highlight w:val="none"/>
                <w:lang w:val="en-US" w:eastAsia="zh-CN"/>
              </w:rPr>
              <w:t>环刀法</w:t>
            </w:r>
          </w:p>
        </w:tc>
      </w:tr>
      <w:tr w14:paraId="2E7E9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692" w:type="dxa"/>
            <w:noWrap w:val="0"/>
            <w:vAlign w:val="center"/>
          </w:tcPr>
          <w:p w14:paraId="1EC1430C">
            <w:pPr>
              <w:pStyle w:val="37"/>
              <w:rPr>
                <w:color w:val="auto"/>
                <w:kern w:val="2"/>
                <w:szCs w:val="24"/>
                <w:highlight w:val="none"/>
                <w:lang w:val="en-US" w:eastAsia="zh-CN"/>
              </w:rPr>
            </w:pPr>
            <w:r>
              <w:rPr>
                <w:color w:val="auto"/>
                <w:kern w:val="2"/>
                <w:szCs w:val="24"/>
                <w:highlight w:val="none"/>
                <w:lang w:val="en-US" w:eastAsia="zh-CN"/>
              </w:rPr>
              <w:t>2</w:t>
            </w:r>
          </w:p>
        </w:tc>
        <w:tc>
          <w:tcPr>
            <w:tcW w:w="1434" w:type="dxa"/>
            <w:noWrap w:val="0"/>
            <w:vAlign w:val="center"/>
          </w:tcPr>
          <w:p w14:paraId="4DD9EFAE">
            <w:pPr>
              <w:pStyle w:val="37"/>
              <w:rPr>
                <w:color w:val="auto"/>
                <w:kern w:val="2"/>
                <w:szCs w:val="24"/>
                <w:highlight w:val="none"/>
                <w:lang w:val="en-US" w:eastAsia="zh-CN"/>
              </w:rPr>
            </w:pPr>
            <w:r>
              <w:rPr>
                <w:color w:val="auto"/>
                <w:kern w:val="2"/>
                <w:szCs w:val="24"/>
                <w:highlight w:val="none"/>
                <w:lang w:val="en-US" w:eastAsia="zh-CN"/>
              </w:rPr>
              <w:t>人行道、</w:t>
            </w:r>
          </w:p>
          <w:p w14:paraId="44475458">
            <w:pPr>
              <w:pStyle w:val="37"/>
              <w:rPr>
                <w:color w:val="auto"/>
                <w:kern w:val="2"/>
                <w:szCs w:val="24"/>
                <w:highlight w:val="none"/>
                <w:lang w:val="en-US" w:eastAsia="zh-CN"/>
              </w:rPr>
            </w:pPr>
            <w:r>
              <w:rPr>
                <w:color w:val="auto"/>
                <w:kern w:val="2"/>
                <w:szCs w:val="24"/>
                <w:highlight w:val="none"/>
                <w:lang w:val="en-US" w:eastAsia="zh-CN"/>
              </w:rPr>
              <w:t>机动车道下</w:t>
            </w:r>
          </w:p>
        </w:tc>
        <w:tc>
          <w:tcPr>
            <w:tcW w:w="976" w:type="dxa"/>
            <w:noWrap w:val="0"/>
            <w:vAlign w:val="center"/>
          </w:tcPr>
          <w:p w14:paraId="126AA9ED">
            <w:pPr>
              <w:pStyle w:val="37"/>
              <w:rPr>
                <w:color w:val="auto"/>
                <w:kern w:val="2"/>
                <w:szCs w:val="24"/>
                <w:highlight w:val="none"/>
                <w:lang w:val="en-US" w:eastAsia="zh-CN"/>
              </w:rPr>
            </w:pPr>
            <w:r>
              <w:rPr>
                <w:color w:val="auto"/>
                <w:kern w:val="2"/>
                <w:szCs w:val="24"/>
                <w:highlight w:val="none"/>
                <w:lang w:val="en-US" w:eastAsia="zh-CN"/>
              </w:rPr>
              <w:t>≥95</w:t>
            </w:r>
          </w:p>
        </w:tc>
        <w:tc>
          <w:tcPr>
            <w:tcW w:w="1842" w:type="dxa"/>
            <w:vMerge w:val="continue"/>
            <w:noWrap w:val="0"/>
            <w:vAlign w:val="center"/>
          </w:tcPr>
          <w:p w14:paraId="5CDC260D">
            <w:pPr>
              <w:pStyle w:val="37"/>
              <w:rPr>
                <w:color w:val="auto"/>
                <w:kern w:val="2"/>
                <w:szCs w:val="24"/>
                <w:highlight w:val="none"/>
                <w:lang w:val="en-US" w:eastAsia="zh-CN"/>
              </w:rPr>
            </w:pPr>
          </w:p>
        </w:tc>
        <w:tc>
          <w:tcPr>
            <w:tcW w:w="1498" w:type="dxa"/>
            <w:noWrap w:val="0"/>
            <w:vAlign w:val="center"/>
          </w:tcPr>
          <w:p w14:paraId="3D8A3EEF">
            <w:pPr>
              <w:pStyle w:val="37"/>
              <w:rPr>
                <w:color w:val="auto"/>
                <w:kern w:val="2"/>
                <w:szCs w:val="24"/>
                <w:highlight w:val="none"/>
                <w:lang w:val="en-US" w:eastAsia="zh-CN"/>
              </w:rPr>
            </w:pPr>
            <w:r>
              <w:rPr>
                <w:color w:val="auto"/>
                <w:kern w:val="2"/>
                <w:szCs w:val="24"/>
                <w:highlight w:val="none"/>
                <w:lang w:val="en-US" w:eastAsia="zh-CN"/>
              </w:rPr>
              <w:t>1（三点）</w:t>
            </w:r>
          </w:p>
        </w:tc>
        <w:tc>
          <w:tcPr>
            <w:tcW w:w="1621" w:type="dxa"/>
            <w:noWrap w:val="0"/>
            <w:vAlign w:val="center"/>
          </w:tcPr>
          <w:p w14:paraId="7F9E9DE4">
            <w:pPr>
              <w:pStyle w:val="37"/>
              <w:rPr>
                <w:color w:val="auto"/>
                <w:kern w:val="2"/>
                <w:szCs w:val="24"/>
                <w:highlight w:val="none"/>
                <w:lang w:val="en-US" w:eastAsia="zh-CN"/>
              </w:rPr>
            </w:pPr>
            <w:r>
              <w:rPr>
                <w:color w:val="auto"/>
                <w:kern w:val="2"/>
                <w:szCs w:val="24"/>
                <w:highlight w:val="none"/>
                <w:lang w:val="en-US" w:eastAsia="zh-CN"/>
              </w:rPr>
              <w:t>环刀法</w:t>
            </w:r>
          </w:p>
        </w:tc>
      </w:tr>
    </w:tbl>
    <w:p w14:paraId="0FD5935B">
      <w:pPr>
        <w:rPr>
          <w:color w:val="auto"/>
          <w:highlight w:val="none"/>
        </w:rPr>
      </w:pPr>
      <w:bookmarkStart w:id="166" w:name="_Toc18280"/>
      <w:bookmarkStart w:id="167" w:name="_Toc8256"/>
      <w:r>
        <w:rPr>
          <w:rFonts w:hint="eastAsia" w:asciiTheme="minorEastAsia" w:hAnsiTheme="minorEastAsia" w:eastAsiaTheme="minorEastAsia" w:cstheme="minorEastAsia"/>
          <w:b/>
          <w:bCs/>
          <w:color w:val="auto"/>
          <w:highlight w:val="none"/>
          <w:lang w:val="en-US" w:eastAsia="zh-CN"/>
        </w:rPr>
        <w:t>9</w:t>
      </w:r>
      <w:r>
        <w:rPr>
          <w:rFonts w:hint="eastAsia" w:asciiTheme="minorEastAsia" w:hAnsiTheme="minorEastAsia" w:eastAsiaTheme="minorEastAsia" w:cstheme="minorEastAsia"/>
          <w:b/>
          <w:bCs/>
          <w:color w:val="auto"/>
          <w:highlight w:val="none"/>
        </w:rPr>
        <w:t>.2.</w:t>
      </w:r>
      <w:r>
        <w:rPr>
          <w:rFonts w:hint="eastAsia" w:asciiTheme="minorEastAsia" w:hAnsiTheme="minorEastAsia" w:eastAsiaTheme="minorEastAsia" w:cstheme="minorEastAsia"/>
          <w:b/>
          <w:bCs/>
          <w:color w:val="auto"/>
          <w:highlight w:val="none"/>
          <w:lang w:val="en-US" w:eastAsia="zh-CN"/>
        </w:rPr>
        <w:t>6</w:t>
      </w:r>
      <w:r>
        <w:rPr>
          <w:rFonts w:hint="eastAsia" w:asciiTheme="minorEastAsia" w:hAnsiTheme="minorEastAsia" w:eastAsiaTheme="minorEastAsia" w:cstheme="minorEastAsia"/>
          <w:b/>
          <w:bCs/>
          <w:color w:val="auto"/>
          <w:highlight w:val="none"/>
        </w:rPr>
        <w:t xml:space="preserve"> </w:t>
      </w:r>
      <w:r>
        <w:rPr>
          <w:rFonts w:hint="eastAsia"/>
          <w:color w:val="auto"/>
          <w:highlight w:val="none"/>
        </w:rPr>
        <w:t>小型综合管廊</w:t>
      </w:r>
      <w:r>
        <w:rPr>
          <w:color w:val="auto"/>
          <w:highlight w:val="none"/>
        </w:rPr>
        <w:t>基础施工及质量验收除应符合本节规定外，尚</w:t>
      </w:r>
      <w:r>
        <w:rPr>
          <w:rFonts w:hint="eastAsia"/>
          <w:color w:val="auto"/>
          <w:highlight w:val="none"/>
        </w:rPr>
        <w:t>应</w:t>
      </w:r>
      <w:r>
        <w:rPr>
          <w:color w:val="auto"/>
          <w:highlight w:val="none"/>
        </w:rPr>
        <w:t>符合</w:t>
      </w:r>
      <w:r>
        <w:rPr>
          <w:rFonts w:hint="eastAsia"/>
          <w:color w:val="auto"/>
          <w:highlight w:val="none"/>
        </w:rPr>
        <w:t>现行工程建设强制性国家规范《建筑与市政地基基础通用规范》GB 50003和</w:t>
      </w:r>
      <w:r>
        <w:rPr>
          <w:color w:val="auto"/>
          <w:highlight w:val="none"/>
        </w:rPr>
        <w:t>现行国家标准《建筑地基基础工程施工质量验收</w:t>
      </w:r>
      <w:r>
        <w:rPr>
          <w:rFonts w:hint="eastAsia"/>
          <w:color w:val="auto"/>
          <w:highlight w:val="none"/>
        </w:rPr>
        <w:t>标准</w:t>
      </w:r>
      <w:r>
        <w:rPr>
          <w:color w:val="auto"/>
          <w:highlight w:val="none"/>
        </w:rPr>
        <w:t>》GB 50202的有关规定。</w:t>
      </w:r>
      <w:r>
        <w:rPr>
          <w:rFonts w:hint="eastAsia" w:ascii="宋体" w:hAnsi="宋体" w:cs="黑体"/>
          <w:color w:val="auto"/>
          <w:highlight w:val="none"/>
          <w:lang w:val="en-US" w:eastAsia="zh-CN"/>
        </w:rPr>
        <w:t>本条新增。理由：</w:t>
      </w:r>
      <w:r>
        <w:rPr>
          <w:rFonts w:hint="eastAsia" w:ascii="宋体" w:hAnsi="宋体" w:cs="黑体"/>
          <w:color w:val="auto"/>
          <w:highlight w:val="none"/>
        </w:rPr>
        <w:t>现行工程建设强制性国家规范《</w:t>
      </w:r>
      <w:r>
        <w:rPr>
          <w:rFonts w:hint="eastAsia"/>
          <w:color w:val="auto"/>
          <w:highlight w:val="none"/>
        </w:rPr>
        <w:t>建筑与市政地基基础通用规范</w:t>
      </w:r>
      <w:r>
        <w:rPr>
          <w:rFonts w:hint="eastAsia" w:ascii="宋体" w:hAnsi="宋体" w:cs="黑体"/>
          <w:color w:val="auto"/>
          <w:highlight w:val="none"/>
        </w:rPr>
        <w:t>》</w:t>
      </w:r>
      <w:r>
        <w:rPr>
          <w:rFonts w:hint="eastAsia" w:ascii="宋体" w:hAnsi="宋体" w:cs="黑体"/>
          <w:color w:val="auto"/>
          <w:highlight w:val="none"/>
          <w:lang w:val="en-US" w:eastAsia="zh-CN"/>
        </w:rPr>
        <w:t>中含基础施工与验收相关内容，也应执行</w:t>
      </w:r>
      <w:r>
        <w:rPr>
          <w:rFonts w:hint="eastAsia" w:ascii="宋体" w:hAnsi="宋体" w:cs="黑体"/>
          <w:color w:val="auto"/>
          <w:highlight w:val="none"/>
          <w:lang w:eastAsia="zh-CN"/>
        </w:rPr>
        <w:t>】</w:t>
      </w:r>
    </w:p>
    <w:p w14:paraId="27AEDE43">
      <w:pPr>
        <w:pStyle w:val="34"/>
        <w:spacing w:before="156" w:beforeLines="50" w:after="156" w:afterLines="50" w:line="400" w:lineRule="exact"/>
        <w:outlineLvl w:val="2"/>
        <w:rPr>
          <w:rFonts w:hint="eastAsia" w:ascii="黑体" w:hAnsi="黑体" w:cs="黑体"/>
          <w:color w:val="auto"/>
          <w:sz w:val="21"/>
          <w:szCs w:val="21"/>
          <w:highlight w:val="none"/>
        </w:rPr>
      </w:pPr>
      <w:bookmarkStart w:id="168" w:name="_Toc32288"/>
      <w:bookmarkStart w:id="169" w:name="_Toc28001"/>
      <w:bookmarkStart w:id="170" w:name="_Toc25026"/>
      <w:r>
        <w:rPr>
          <w:rFonts w:hint="eastAsia" w:ascii="黑体" w:hAnsi="黑体" w:cs="黑体"/>
          <w:color w:val="auto"/>
          <w:sz w:val="21"/>
          <w:szCs w:val="21"/>
          <w:highlight w:val="none"/>
          <w:lang w:val="en-US" w:eastAsia="zh-CN"/>
        </w:rPr>
        <w:t>9</w:t>
      </w:r>
      <w:r>
        <w:rPr>
          <w:rFonts w:hint="eastAsia" w:ascii="黑体" w:hAnsi="黑体" w:cs="黑体"/>
          <w:color w:val="auto"/>
          <w:sz w:val="21"/>
          <w:szCs w:val="21"/>
          <w:highlight w:val="none"/>
        </w:rPr>
        <w:t>.3</w:t>
      </w:r>
      <w:r>
        <w:rPr>
          <w:rFonts w:hint="eastAsia" w:ascii="黑体" w:hAnsi="黑体" w:cs="黑体"/>
          <w:color w:val="auto"/>
          <w:sz w:val="21"/>
          <w:szCs w:val="21"/>
          <w:highlight w:val="none"/>
          <w:lang w:val="en-US" w:eastAsia="zh-CN"/>
        </w:rPr>
        <w:t xml:space="preserve"> </w:t>
      </w:r>
      <w:r>
        <w:rPr>
          <w:rFonts w:hint="eastAsia" w:ascii="黑体" w:hAnsi="黑体" w:cs="黑体"/>
          <w:color w:val="auto"/>
          <w:sz w:val="21"/>
          <w:szCs w:val="21"/>
          <w:highlight w:val="none"/>
        </w:rPr>
        <w:t>现浇钢筋混凝土结构</w:t>
      </w:r>
      <w:bookmarkEnd w:id="166"/>
      <w:bookmarkEnd w:id="167"/>
      <w:bookmarkEnd w:id="168"/>
      <w:bookmarkEnd w:id="169"/>
      <w:bookmarkEnd w:id="170"/>
    </w:p>
    <w:p w14:paraId="1F0865DF">
      <w:pPr>
        <w:rPr>
          <w:color w:val="auto"/>
          <w:highlight w:val="none"/>
        </w:rPr>
      </w:pPr>
      <w:r>
        <w:rPr>
          <w:rFonts w:hint="eastAsia" w:asciiTheme="minorEastAsia" w:hAnsiTheme="minorEastAsia" w:eastAsiaTheme="minorEastAsia" w:cstheme="minorEastAsia"/>
          <w:b/>
          <w:bCs/>
          <w:color w:val="auto"/>
          <w:highlight w:val="none"/>
          <w:lang w:val="en-US" w:eastAsia="zh-CN"/>
        </w:rPr>
        <w:t>9</w:t>
      </w:r>
      <w:r>
        <w:rPr>
          <w:rFonts w:hint="eastAsia" w:asciiTheme="minorEastAsia" w:hAnsiTheme="minorEastAsia" w:eastAsiaTheme="minorEastAsia" w:cstheme="minorEastAsia"/>
          <w:b/>
          <w:bCs/>
          <w:color w:val="auto"/>
          <w:highlight w:val="none"/>
        </w:rPr>
        <w:t>.3.1</w:t>
      </w:r>
      <w:r>
        <w:rPr>
          <w:color w:val="auto"/>
          <w:highlight w:val="none"/>
        </w:rPr>
        <w:t xml:space="preserve"> </w:t>
      </w:r>
      <w:r>
        <w:rPr>
          <w:rFonts w:hint="eastAsia"/>
          <w:color w:val="auto"/>
          <w:highlight w:val="none"/>
          <w:lang w:val="en-US" w:eastAsia="zh-CN"/>
        </w:rPr>
        <w:t>小型综合</w:t>
      </w:r>
      <w:r>
        <w:rPr>
          <w:color w:val="auto"/>
          <w:highlight w:val="none"/>
        </w:rPr>
        <w:t>管廊模板施工前，应根据结构形式、施工工艺、设备和材料供应条件进行模板和支架设计。模板和支撑的强度、刚度及稳定性应满足受力要求。</w:t>
      </w:r>
    </w:p>
    <w:p w14:paraId="31423D16">
      <w:pPr>
        <w:rPr>
          <w:rFonts w:hint="eastAsia" w:ascii="宋体" w:hAnsi="宋体" w:cs="黑体"/>
          <w:color w:val="auto"/>
          <w:highlight w:val="none"/>
        </w:rPr>
      </w:pPr>
      <w:r>
        <w:rPr>
          <w:rFonts w:hint="eastAsia" w:ascii="宋体" w:hAnsi="宋体" w:cs="黑体"/>
          <w:color w:val="auto"/>
          <w:highlight w:val="none"/>
        </w:rPr>
        <w:t>【</w:t>
      </w:r>
      <w:r>
        <w:rPr>
          <w:rFonts w:hint="eastAsia"/>
          <w:b/>
          <w:color w:val="auto"/>
          <w:highlight w:val="none"/>
        </w:rPr>
        <w:t>条文说明</w:t>
      </w:r>
      <w:r>
        <w:rPr>
          <w:rFonts w:hint="eastAsia"/>
          <w:b/>
          <w:color w:val="auto"/>
          <w:highlight w:val="none"/>
          <w:lang w:eastAsia="zh-CN"/>
        </w:rPr>
        <w:t>：</w:t>
      </w:r>
      <w:r>
        <w:rPr>
          <w:rFonts w:hint="eastAsia"/>
          <w:color w:val="auto"/>
          <w:highlight w:val="none"/>
          <w:lang w:val="en-US" w:eastAsia="zh-CN"/>
        </w:rPr>
        <w:t>小型综合管廊工程施工的模板工程量较大，因而施工时应确定合理的模板工程方案，确保工程质量，提高施工效率</w:t>
      </w:r>
      <w:r>
        <w:rPr>
          <w:rFonts w:hint="eastAsia"/>
          <w:color w:val="auto"/>
          <w:highlight w:val="none"/>
        </w:rPr>
        <w:t>。</w:t>
      </w:r>
      <w:r>
        <w:rPr>
          <w:rFonts w:hint="eastAsia" w:ascii="宋体" w:hAnsi="宋体" w:cs="黑体"/>
          <w:color w:val="auto"/>
          <w:highlight w:val="none"/>
        </w:rPr>
        <w:t>】</w:t>
      </w:r>
    </w:p>
    <w:p w14:paraId="6AB56A68">
      <w:pPr>
        <w:rPr>
          <w:color w:val="auto"/>
          <w:highlight w:val="none"/>
        </w:rPr>
      </w:pPr>
      <w:r>
        <w:rPr>
          <w:rFonts w:hint="eastAsia" w:asciiTheme="minorEastAsia" w:hAnsiTheme="minorEastAsia" w:eastAsiaTheme="minorEastAsia" w:cstheme="minorEastAsia"/>
          <w:b/>
          <w:bCs/>
          <w:color w:val="auto"/>
          <w:highlight w:val="none"/>
          <w:lang w:val="en-US" w:eastAsia="zh-CN"/>
        </w:rPr>
        <w:t>9</w:t>
      </w:r>
      <w:r>
        <w:rPr>
          <w:rFonts w:hint="eastAsia" w:asciiTheme="minorEastAsia" w:hAnsiTheme="minorEastAsia" w:eastAsiaTheme="minorEastAsia" w:cstheme="minorEastAsia"/>
          <w:b/>
          <w:bCs/>
          <w:color w:val="auto"/>
          <w:highlight w:val="none"/>
        </w:rPr>
        <w:t>.3.2</w:t>
      </w:r>
      <w:r>
        <w:rPr>
          <w:color w:val="auto"/>
          <w:highlight w:val="none"/>
        </w:rPr>
        <w:t xml:space="preserve">  混凝土的浇筑应在模板和支架检验合格后进行。入模时应防止离析。连续浇筑时，每层浇筑高度应满足振捣密实的要求。预留孔、预埋管、预埋件及止水带等周边混凝土浇筑时，应辅助人工插捣。</w:t>
      </w:r>
    </w:p>
    <w:p w14:paraId="2F776BB1">
      <w:pPr>
        <w:rPr>
          <w:rFonts w:hint="eastAsia" w:ascii="宋体" w:hAnsi="宋体" w:cs="黑体"/>
          <w:color w:val="auto"/>
          <w:highlight w:val="none"/>
        </w:rPr>
      </w:pPr>
      <w:r>
        <w:rPr>
          <w:rFonts w:hint="eastAsia" w:ascii="黑体" w:hAnsi="黑体" w:eastAsia="黑体" w:cs="黑体"/>
          <w:b/>
          <w:bCs/>
          <w:color w:val="auto"/>
          <w:highlight w:val="none"/>
        </w:rPr>
        <w:t>9</w:t>
      </w:r>
      <w:r>
        <w:rPr>
          <w:rFonts w:ascii="黑体" w:hAnsi="黑体" w:eastAsia="黑体" w:cs="黑体"/>
          <w:b/>
          <w:bCs/>
          <w:color w:val="auto"/>
          <w:highlight w:val="none"/>
        </w:rPr>
        <w:t>.</w:t>
      </w:r>
      <w:r>
        <w:rPr>
          <w:rFonts w:hint="eastAsia" w:ascii="黑体" w:hAnsi="黑体" w:eastAsia="黑体" w:cs="黑体"/>
          <w:b/>
          <w:bCs/>
          <w:color w:val="auto"/>
          <w:highlight w:val="none"/>
          <w:lang w:val="en-US" w:eastAsia="zh-CN"/>
        </w:rPr>
        <w:t>3.3</w:t>
      </w:r>
      <w:r>
        <w:rPr>
          <w:rFonts w:ascii="黑体" w:hAnsi="黑体" w:eastAsia="黑体" w:cs="黑体"/>
          <w:color w:val="auto"/>
          <w:highlight w:val="none"/>
        </w:rPr>
        <w:t xml:space="preserve"> </w:t>
      </w:r>
      <w:r>
        <w:rPr>
          <w:rFonts w:hint="eastAsia" w:ascii="宋体" w:hAnsi="宋体" w:cs="黑体"/>
          <w:color w:val="auto"/>
          <w:highlight w:val="none"/>
        </w:rPr>
        <w:t>混凝土应连续浇筑不得留置施工缝。设计有变形缝时，应按变形缝分仓浇筑。</w:t>
      </w:r>
    </w:p>
    <w:p w14:paraId="487C6592">
      <w:pPr>
        <w:rPr>
          <w:rFonts w:hint="eastAsia" w:ascii="宋体" w:hAnsi="宋体" w:cs="黑体"/>
          <w:color w:val="auto"/>
          <w:highlight w:val="none"/>
        </w:rPr>
      </w:pPr>
      <w:r>
        <w:rPr>
          <w:rFonts w:hint="eastAsia" w:ascii="宋体" w:hAnsi="宋体" w:cs="黑体"/>
          <w:color w:val="auto"/>
          <w:highlight w:val="none"/>
        </w:rPr>
        <w:t>【</w:t>
      </w:r>
      <w:r>
        <w:rPr>
          <w:rFonts w:hint="eastAsia"/>
          <w:b/>
          <w:color w:val="auto"/>
          <w:highlight w:val="none"/>
        </w:rPr>
        <w:t>条文说明</w:t>
      </w:r>
      <w:r>
        <w:rPr>
          <w:rFonts w:hint="eastAsia"/>
          <w:b/>
          <w:color w:val="auto"/>
          <w:highlight w:val="none"/>
          <w:lang w:eastAsia="zh-CN"/>
        </w:rPr>
        <w:t>：</w:t>
      </w:r>
      <w:r>
        <w:rPr>
          <w:rFonts w:hint="eastAsia"/>
          <w:color w:val="auto"/>
          <w:highlight w:val="none"/>
          <w:lang w:val="en-US" w:eastAsia="zh-CN"/>
        </w:rPr>
        <w:t>小型综合管廊工程为地下工程，在施工过程中施工缝是防水的薄弱部位，本条强调施工缝施工的重点事项</w:t>
      </w:r>
      <w:r>
        <w:rPr>
          <w:rFonts w:hint="eastAsia"/>
          <w:color w:val="auto"/>
          <w:highlight w:val="none"/>
        </w:rPr>
        <w:t>。</w:t>
      </w:r>
      <w:r>
        <w:rPr>
          <w:rFonts w:hint="eastAsia" w:ascii="宋体" w:hAnsi="宋体" w:cs="黑体"/>
          <w:color w:val="auto"/>
          <w:highlight w:val="none"/>
        </w:rPr>
        <w:t>】</w:t>
      </w:r>
    </w:p>
    <w:p w14:paraId="2B8E1827">
      <w:pPr>
        <w:rPr>
          <w:color w:val="auto"/>
          <w:highlight w:val="none"/>
        </w:rPr>
      </w:pPr>
      <w:r>
        <w:rPr>
          <w:rFonts w:hint="eastAsia" w:asciiTheme="minorEastAsia" w:hAnsiTheme="minorEastAsia" w:eastAsiaTheme="minorEastAsia" w:cstheme="minorEastAsia"/>
          <w:b/>
          <w:bCs/>
          <w:color w:val="auto"/>
          <w:highlight w:val="none"/>
          <w:lang w:val="en-US" w:eastAsia="zh-CN"/>
        </w:rPr>
        <w:t>9</w:t>
      </w:r>
      <w:r>
        <w:rPr>
          <w:rFonts w:hint="eastAsia" w:asciiTheme="minorEastAsia" w:hAnsiTheme="minorEastAsia" w:eastAsiaTheme="minorEastAsia" w:cstheme="minorEastAsia"/>
          <w:b/>
          <w:bCs/>
          <w:color w:val="auto"/>
          <w:highlight w:val="none"/>
        </w:rPr>
        <w:t>.3.</w:t>
      </w:r>
      <w:r>
        <w:rPr>
          <w:rFonts w:hint="eastAsia" w:asciiTheme="minorEastAsia" w:hAnsiTheme="minorEastAsia" w:eastAsiaTheme="minorEastAsia" w:cstheme="minorEastAsia"/>
          <w:b/>
          <w:bCs/>
          <w:color w:val="auto"/>
          <w:highlight w:val="none"/>
          <w:lang w:val="en-US" w:eastAsia="zh-CN"/>
        </w:rPr>
        <w:t>4</w:t>
      </w:r>
      <w:r>
        <w:rPr>
          <w:color w:val="auto"/>
          <w:highlight w:val="none"/>
        </w:rPr>
        <w:t xml:space="preserve"> 混凝土施工质量验收应符合国家现行标准《混凝土结构工程施工质量验收规范》GB 50204的有关规定。</w:t>
      </w:r>
    </w:p>
    <w:p w14:paraId="1A19DD21">
      <w:pPr>
        <w:pStyle w:val="34"/>
        <w:spacing w:before="156" w:beforeLines="50" w:after="156" w:afterLines="50" w:line="400" w:lineRule="exact"/>
        <w:outlineLvl w:val="2"/>
        <w:rPr>
          <w:rFonts w:hint="eastAsia" w:ascii="黑体" w:hAnsi="黑体" w:cs="黑体"/>
          <w:color w:val="auto"/>
          <w:sz w:val="21"/>
          <w:szCs w:val="21"/>
          <w:highlight w:val="none"/>
        </w:rPr>
      </w:pPr>
      <w:bookmarkStart w:id="171" w:name="_Toc8102"/>
      <w:bookmarkStart w:id="172" w:name="_Toc4511"/>
      <w:bookmarkStart w:id="173" w:name="_Toc14989"/>
      <w:bookmarkStart w:id="174" w:name="_Toc16059"/>
      <w:bookmarkStart w:id="175" w:name="_Toc25204"/>
      <w:r>
        <w:rPr>
          <w:rFonts w:hint="eastAsia" w:ascii="黑体" w:hAnsi="黑体" w:cs="黑体"/>
          <w:color w:val="auto"/>
          <w:sz w:val="21"/>
          <w:szCs w:val="21"/>
          <w:highlight w:val="none"/>
          <w:lang w:val="en-US" w:eastAsia="zh-CN"/>
        </w:rPr>
        <w:t>9</w:t>
      </w:r>
      <w:r>
        <w:rPr>
          <w:rFonts w:hint="eastAsia" w:ascii="黑体" w:hAnsi="黑体" w:cs="黑体"/>
          <w:color w:val="auto"/>
          <w:sz w:val="21"/>
          <w:szCs w:val="21"/>
          <w:highlight w:val="none"/>
        </w:rPr>
        <w:t>.4</w:t>
      </w:r>
      <w:r>
        <w:rPr>
          <w:rFonts w:hint="eastAsia" w:ascii="黑体" w:hAnsi="黑体" w:cs="黑体"/>
          <w:color w:val="auto"/>
          <w:sz w:val="21"/>
          <w:szCs w:val="21"/>
          <w:highlight w:val="none"/>
          <w:lang w:val="en-US" w:eastAsia="zh-CN"/>
        </w:rPr>
        <w:t xml:space="preserve"> </w:t>
      </w:r>
      <w:r>
        <w:rPr>
          <w:rFonts w:hint="eastAsia" w:ascii="黑体" w:hAnsi="黑体" w:cs="黑体"/>
          <w:color w:val="auto"/>
          <w:sz w:val="21"/>
          <w:szCs w:val="21"/>
          <w:highlight w:val="none"/>
        </w:rPr>
        <w:t>预制装配式钢筋混凝土结构</w:t>
      </w:r>
      <w:bookmarkEnd w:id="171"/>
      <w:bookmarkEnd w:id="172"/>
      <w:bookmarkEnd w:id="173"/>
      <w:bookmarkEnd w:id="174"/>
      <w:bookmarkEnd w:id="175"/>
    </w:p>
    <w:p w14:paraId="5E40F0D5">
      <w:pPr>
        <w:rPr>
          <w:color w:val="auto"/>
          <w:highlight w:val="none"/>
        </w:rPr>
      </w:pPr>
      <w:r>
        <w:rPr>
          <w:rFonts w:hint="eastAsia" w:asciiTheme="minorEastAsia" w:hAnsiTheme="minorEastAsia" w:eastAsiaTheme="minorEastAsia" w:cstheme="minorEastAsia"/>
          <w:b/>
          <w:bCs/>
          <w:color w:val="auto"/>
          <w:highlight w:val="none"/>
          <w:lang w:val="en-US" w:eastAsia="zh-CN"/>
        </w:rPr>
        <w:t>9</w:t>
      </w:r>
      <w:r>
        <w:rPr>
          <w:rFonts w:hint="eastAsia" w:asciiTheme="minorEastAsia" w:hAnsiTheme="minorEastAsia" w:eastAsiaTheme="minorEastAsia" w:cstheme="minorEastAsia"/>
          <w:b/>
          <w:bCs/>
          <w:color w:val="auto"/>
          <w:highlight w:val="none"/>
        </w:rPr>
        <w:t>.4.1</w:t>
      </w:r>
      <w:r>
        <w:rPr>
          <w:color w:val="auto"/>
          <w:highlight w:val="none"/>
        </w:rPr>
        <w:t xml:space="preserve"> 预制拼装钢筋混凝土构件的模板，应采用精加工的钢模板。</w:t>
      </w:r>
    </w:p>
    <w:p w14:paraId="2D092A87">
      <w:pPr>
        <w:rPr>
          <w:rFonts w:ascii="宋体" w:hAnsi="宋体" w:cs="黑体"/>
          <w:color w:val="auto"/>
          <w:highlight w:val="none"/>
        </w:rPr>
      </w:pPr>
      <w:r>
        <w:rPr>
          <w:rFonts w:hint="eastAsia" w:ascii="宋体" w:hAnsi="宋体" w:cs="黑体"/>
          <w:color w:val="auto"/>
          <w:highlight w:val="none"/>
        </w:rPr>
        <w:t>【</w:t>
      </w:r>
      <w:r>
        <w:rPr>
          <w:rFonts w:hint="eastAsia"/>
          <w:b/>
          <w:color w:val="auto"/>
          <w:highlight w:val="none"/>
        </w:rPr>
        <w:t>条文说明</w:t>
      </w:r>
      <w:r>
        <w:rPr>
          <w:rFonts w:hint="eastAsia"/>
          <w:b/>
          <w:color w:val="auto"/>
          <w:highlight w:val="none"/>
          <w:lang w:eastAsia="zh-CN"/>
        </w:rPr>
        <w:t>：</w:t>
      </w:r>
      <w:r>
        <w:rPr>
          <w:rFonts w:hint="eastAsia"/>
          <w:color w:val="auto"/>
          <w:highlight w:val="none"/>
          <w:lang w:val="en-US" w:eastAsia="zh-CN"/>
        </w:rPr>
        <w:t>预制装配式小型综合管廊采用工厂化制作的预制构件，采用精加工的钢模板可以确保构件的混凝土质量、尺寸精度</w:t>
      </w:r>
      <w:r>
        <w:rPr>
          <w:rFonts w:hint="eastAsia"/>
          <w:color w:val="auto"/>
          <w:highlight w:val="none"/>
        </w:rPr>
        <w:t>。</w:t>
      </w:r>
      <w:r>
        <w:rPr>
          <w:rFonts w:hint="eastAsia" w:ascii="宋体" w:hAnsi="宋体" w:cs="黑体"/>
          <w:color w:val="auto"/>
          <w:highlight w:val="none"/>
        </w:rPr>
        <w:t>】</w:t>
      </w:r>
    </w:p>
    <w:p w14:paraId="06AE78BA">
      <w:pPr>
        <w:rPr>
          <w:color w:val="auto"/>
          <w:highlight w:val="none"/>
        </w:rPr>
      </w:pPr>
      <w:r>
        <w:rPr>
          <w:rFonts w:hint="eastAsia" w:asciiTheme="minorEastAsia" w:hAnsiTheme="minorEastAsia" w:eastAsiaTheme="minorEastAsia" w:cstheme="minorEastAsia"/>
          <w:b/>
          <w:bCs/>
          <w:color w:val="auto"/>
          <w:highlight w:val="none"/>
          <w:lang w:val="en-US" w:eastAsia="zh-CN"/>
        </w:rPr>
        <w:t>9</w:t>
      </w:r>
      <w:r>
        <w:rPr>
          <w:rFonts w:hint="eastAsia" w:asciiTheme="minorEastAsia" w:hAnsiTheme="minorEastAsia" w:eastAsiaTheme="minorEastAsia" w:cstheme="minorEastAsia"/>
          <w:b/>
          <w:bCs/>
          <w:color w:val="auto"/>
          <w:highlight w:val="none"/>
        </w:rPr>
        <w:t>.4.</w:t>
      </w:r>
      <w:r>
        <w:rPr>
          <w:rFonts w:hint="eastAsia" w:asciiTheme="minorEastAsia" w:hAnsiTheme="minorEastAsia" w:eastAsiaTheme="minorEastAsia" w:cstheme="minorEastAsia"/>
          <w:b/>
          <w:bCs/>
          <w:color w:val="auto"/>
          <w:highlight w:val="none"/>
          <w:lang w:val="en-US" w:eastAsia="zh-CN"/>
        </w:rPr>
        <w:t>2</w:t>
      </w:r>
      <w:r>
        <w:rPr>
          <w:color w:val="auto"/>
          <w:highlight w:val="none"/>
        </w:rPr>
        <w:t xml:space="preserve"> 构件堆放的场地应平整夯实，并应具有良好的排水措施。</w:t>
      </w:r>
    </w:p>
    <w:p w14:paraId="3A63F789">
      <w:pPr>
        <w:rPr>
          <w:color w:val="auto"/>
          <w:highlight w:val="none"/>
        </w:rPr>
      </w:pPr>
      <w:r>
        <w:rPr>
          <w:rFonts w:hint="eastAsia" w:asciiTheme="minorEastAsia" w:hAnsiTheme="minorEastAsia" w:eastAsiaTheme="minorEastAsia" w:cstheme="minorEastAsia"/>
          <w:b/>
          <w:bCs w:val="0"/>
          <w:color w:val="auto"/>
          <w:highlight w:val="none"/>
          <w:lang w:val="en-US" w:eastAsia="zh-CN"/>
        </w:rPr>
        <w:t>9</w:t>
      </w:r>
      <w:r>
        <w:rPr>
          <w:rFonts w:hint="eastAsia" w:asciiTheme="minorEastAsia" w:hAnsiTheme="minorEastAsia" w:eastAsiaTheme="minorEastAsia" w:cstheme="minorEastAsia"/>
          <w:b/>
          <w:bCs w:val="0"/>
          <w:color w:val="auto"/>
          <w:highlight w:val="none"/>
        </w:rPr>
        <w:t>.4.</w:t>
      </w:r>
      <w:r>
        <w:rPr>
          <w:rFonts w:hint="eastAsia" w:asciiTheme="minorEastAsia" w:hAnsiTheme="minorEastAsia" w:eastAsiaTheme="minorEastAsia" w:cstheme="minorEastAsia"/>
          <w:b/>
          <w:bCs w:val="0"/>
          <w:color w:val="auto"/>
          <w:highlight w:val="none"/>
          <w:lang w:val="en-US" w:eastAsia="zh-CN"/>
        </w:rPr>
        <w:t>3</w:t>
      </w:r>
      <w:r>
        <w:rPr>
          <w:color w:val="auto"/>
          <w:highlight w:val="none"/>
        </w:rPr>
        <w:t xml:space="preserve"> 构件的</w:t>
      </w:r>
      <w:r>
        <w:rPr>
          <w:rFonts w:hint="default"/>
          <w:color w:val="auto"/>
          <w:highlight w:val="none"/>
          <w:lang w:val="en-US" w:eastAsia="zh-CN"/>
        </w:rPr>
        <w:t>标识应朝向外侧</w:t>
      </w:r>
      <w:r>
        <w:rPr>
          <w:color w:val="auto"/>
          <w:highlight w:val="none"/>
        </w:rPr>
        <w:t>。</w:t>
      </w:r>
    </w:p>
    <w:p w14:paraId="77747235">
      <w:pPr>
        <w:rPr>
          <w:rFonts w:ascii="宋体" w:hAnsi="宋体" w:cs="黑体"/>
          <w:color w:val="auto"/>
          <w:highlight w:val="none"/>
        </w:rPr>
      </w:pPr>
      <w:r>
        <w:rPr>
          <w:rFonts w:hint="eastAsia" w:ascii="宋体" w:hAnsi="宋体" w:cs="黑体"/>
          <w:color w:val="auto"/>
          <w:highlight w:val="none"/>
        </w:rPr>
        <w:t>【</w:t>
      </w:r>
      <w:r>
        <w:rPr>
          <w:rFonts w:hint="eastAsia"/>
          <w:b/>
          <w:color w:val="auto"/>
          <w:highlight w:val="none"/>
        </w:rPr>
        <w:t>条文说明</w:t>
      </w:r>
      <w:r>
        <w:rPr>
          <w:rFonts w:hint="eastAsia"/>
          <w:b/>
          <w:color w:val="auto"/>
          <w:highlight w:val="none"/>
          <w:lang w:eastAsia="zh-CN"/>
        </w:rPr>
        <w:t>：</w:t>
      </w:r>
      <w:r>
        <w:rPr>
          <w:rFonts w:hint="eastAsia"/>
          <w:color w:val="auto"/>
          <w:highlight w:val="none"/>
        </w:rPr>
        <w:t>构件的标识主要便于施工人员对构件的辨识。</w:t>
      </w:r>
      <w:r>
        <w:rPr>
          <w:rFonts w:hint="eastAsia" w:ascii="宋体" w:hAnsi="宋体" w:cs="黑体"/>
          <w:color w:val="auto"/>
          <w:highlight w:val="none"/>
        </w:rPr>
        <w:t>】</w:t>
      </w:r>
    </w:p>
    <w:p w14:paraId="41953F8D">
      <w:pPr>
        <w:rPr>
          <w:color w:val="auto"/>
          <w:highlight w:val="none"/>
        </w:rPr>
      </w:pPr>
      <w:r>
        <w:rPr>
          <w:rFonts w:hint="eastAsia" w:asciiTheme="minorEastAsia" w:hAnsiTheme="minorEastAsia" w:eastAsiaTheme="minorEastAsia" w:cstheme="minorEastAsia"/>
          <w:b/>
          <w:bCs/>
          <w:color w:val="auto"/>
          <w:highlight w:val="none"/>
          <w:lang w:val="en-US" w:eastAsia="zh-CN"/>
        </w:rPr>
        <w:t>9</w:t>
      </w:r>
      <w:r>
        <w:rPr>
          <w:rFonts w:hint="eastAsia" w:asciiTheme="minorEastAsia" w:hAnsiTheme="minorEastAsia" w:eastAsiaTheme="minorEastAsia" w:cstheme="minorEastAsia"/>
          <w:b/>
          <w:bCs/>
          <w:color w:val="auto"/>
          <w:highlight w:val="none"/>
        </w:rPr>
        <w:t>.4.</w:t>
      </w:r>
      <w:r>
        <w:rPr>
          <w:rFonts w:hint="eastAsia" w:asciiTheme="minorEastAsia" w:hAnsiTheme="minorEastAsia" w:eastAsiaTheme="minorEastAsia" w:cstheme="minorEastAsia"/>
          <w:b/>
          <w:bCs/>
          <w:color w:val="auto"/>
          <w:highlight w:val="none"/>
          <w:lang w:val="en-US" w:eastAsia="zh-CN"/>
        </w:rPr>
        <w:t>4</w:t>
      </w:r>
      <w:r>
        <w:rPr>
          <w:color w:val="auto"/>
          <w:highlight w:val="none"/>
        </w:rPr>
        <w:t xml:space="preserve"> 构件运输及吊装时，混凝土强度应符合设计要求。当设计无要求时，不应低于设计强度的75%。</w:t>
      </w:r>
    </w:p>
    <w:p w14:paraId="1FFF63F5">
      <w:pPr>
        <w:rPr>
          <w:color w:val="auto"/>
          <w:highlight w:val="none"/>
        </w:rPr>
      </w:pPr>
      <w:r>
        <w:rPr>
          <w:rFonts w:hint="eastAsia" w:asciiTheme="minorEastAsia" w:hAnsiTheme="minorEastAsia" w:eastAsiaTheme="minorEastAsia" w:cstheme="minorEastAsia"/>
          <w:b/>
          <w:bCs/>
          <w:color w:val="auto"/>
          <w:highlight w:val="none"/>
          <w:lang w:val="en-US" w:eastAsia="zh-CN"/>
        </w:rPr>
        <w:t>9</w:t>
      </w:r>
      <w:r>
        <w:rPr>
          <w:rFonts w:hint="eastAsia" w:asciiTheme="minorEastAsia" w:hAnsiTheme="minorEastAsia" w:eastAsiaTheme="minorEastAsia" w:cstheme="minorEastAsia"/>
          <w:b/>
          <w:bCs/>
          <w:color w:val="auto"/>
          <w:highlight w:val="none"/>
        </w:rPr>
        <w:t>.4.</w:t>
      </w:r>
      <w:r>
        <w:rPr>
          <w:rFonts w:hint="eastAsia" w:asciiTheme="minorEastAsia" w:hAnsiTheme="minorEastAsia" w:eastAsiaTheme="minorEastAsia" w:cstheme="minorEastAsia"/>
          <w:b/>
          <w:bCs/>
          <w:color w:val="auto"/>
          <w:highlight w:val="none"/>
          <w:lang w:val="en-US" w:eastAsia="zh-CN"/>
        </w:rPr>
        <w:t>5</w:t>
      </w:r>
      <w:r>
        <w:rPr>
          <w:color w:val="auto"/>
          <w:highlight w:val="none"/>
        </w:rPr>
        <w:t xml:space="preserve"> </w:t>
      </w:r>
      <w:r>
        <w:rPr>
          <w:rFonts w:hint="eastAsia"/>
          <w:color w:val="auto"/>
          <w:highlight w:val="none"/>
          <w:lang w:val="en-US" w:eastAsia="zh-CN"/>
        </w:rPr>
        <w:t>预制构件安装前，应复验合格</w:t>
      </w:r>
      <w:r>
        <w:rPr>
          <w:color w:val="auto"/>
          <w:highlight w:val="none"/>
        </w:rPr>
        <w:t>。当构件上有裂缝且宽度超过0.2mm时，应进行鉴定。</w:t>
      </w:r>
    </w:p>
    <w:p w14:paraId="42511317">
      <w:pPr>
        <w:rPr>
          <w:rFonts w:ascii="宋体" w:hAnsi="宋体" w:cs="黑体"/>
          <w:color w:val="auto"/>
          <w:highlight w:val="none"/>
        </w:rPr>
      </w:pPr>
      <w:r>
        <w:rPr>
          <w:rFonts w:hint="eastAsia" w:ascii="宋体" w:hAnsi="宋体" w:cs="黑体"/>
          <w:color w:val="auto"/>
          <w:highlight w:val="none"/>
        </w:rPr>
        <w:t>【</w:t>
      </w:r>
      <w:r>
        <w:rPr>
          <w:rFonts w:hint="eastAsia"/>
          <w:b/>
          <w:color w:val="auto"/>
          <w:highlight w:val="none"/>
        </w:rPr>
        <w:t>条文说明</w:t>
      </w:r>
      <w:r>
        <w:rPr>
          <w:rFonts w:hint="eastAsia"/>
          <w:b/>
          <w:color w:val="auto"/>
          <w:highlight w:val="none"/>
          <w:lang w:eastAsia="zh-CN"/>
        </w:rPr>
        <w:t>：</w:t>
      </w:r>
      <w:r>
        <w:rPr>
          <w:rFonts w:hint="eastAsia"/>
          <w:color w:val="auto"/>
          <w:highlight w:val="none"/>
          <w:lang w:val="en-US" w:eastAsia="zh-CN"/>
        </w:rPr>
        <w:t>有裂缝的构件应进行技术鉴定，判定其是否属于严重质量缺陷，经过有关处理后能否合理使用</w:t>
      </w:r>
      <w:r>
        <w:rPr>
          <w:rFonts w:hint="eastAsia"/>
          <w:color w:val="auto"/>
          <w:highlight w:val="none"/>
        </w:rPr>
        <w:t>。</w:t>
      </w:r>
      <w:r>
        <w:rPr>
          <w:rFonts w:hint="eastAsia" w:ascii="宋体" w:hAnsi="宋体" w:cs="黑体"/>
          <w:color w:val="auto"/>
          <w:highlight w:val="none"/>
        </w:rPr>
        <w:t>】</w:t>
      </w:r>
    </w:p>
    <w:p w14:paraId="23E3A27A">
      <w:pPr>
        <w:rPr>
          <w:color w:val="auto"/>
          <w:highlight w:val="none"/>
        </w:rPr>
      </w:pPr>
      <w:r>
        <w:rPr>
          <w:rFonts w:hint="eastAsia" w:asciiTheme="minorEastAsia" w:hAnsiTheme="minorEastAsia" w:eastAsiaTheme="minorEastAsia" w:cstheme="minorEastAsia"/>
          <w:b/>
          <w:bCs/>
          <w:color w:val="auto"/>
          <w:highlight w:val="none"/>
          <w:lang w:val="en-US" w:eastAsia="zh-CN"/>
        </w:rPr>
        <w:t>9</w:t>
      </w:r>
      <w:r>
        <w:rPr>
          <w:rFonts w:hint="eastAsia" w:asciiTheme="minorEastAsia" w:hAnsiTheme="minorEastAsia" w:eastAsiaTheme="minorEastAsia" w:cstheme="minorEastAsia"/>
          <w:b/>
          <w:bCs/>
          <w:color w:val="auto"/>
          <w:highlight w:val="none"/>
        </w:rPr>
        <w:t>.4.</w:t>
      </w:r>
      <w:r>
        <w:rPr>
          <w:rFonts w:hint="eastAsia" w:asciiTheme="minorEastAsia" w:hAnsiTheme="minorEastAsia" w:eastAsiaTheme="minorEastAsia" w:cstheme="minorEastAsia"/>
          <w:b/>
          <w:bCs/>
          <w:color w:val="auto"/>
          <w:highlight w:val="none"/>
          <w:lang w:val="en-US" w:eastAsia="zh-CN"/>
        </w:rPr>
        <w:t>6</w:t>
      </w:r>
      <w:r>
        <w:rPr>
          <w:color w:val="auto"/>
          <w:highlight w:val="none"/>
        </w:rPr>
        <w:t xml:space="preserve"> 预制构件和现浇结构之间、预制构件之间的连接应按设计要求进行施工。</w:t>
      </w:r>
    </w:p>
    <w:p w14:paraId="06A6AD84">
      <w:pPr>
        <w:rPr>
          <w:color w:val="auto"/>
          <w:highlight w:val="none"/>
        </w:rPr>
      </w:pPr>
      <w:r>
        <w:rPr>
          <w:rFonts w:hint="eastAsia" w:asciiTheme="minorEastAsia" w:hAnsiTheme="minorEastAsia" w:eastAsiaTheme="minorEastAsia" w:cstheme="minorEastAsia"/>
          <w:b/>
          <w:bCs/>
          <w:color w:val="auto"/>
          <w:highlight w:val="none"/>
          <w:lang w:val="en-US" w:eastAsia="zh-CN"/>
        </w:rPr>
        <w:t>9</w:t>
      </w:r>
      <w:r>
        <w:rPr>
          <w:rFonts w:hint="eastAsia" w:asciiTheme="minorEastAsia" w:hAnsiTheme="minorEastAsia" w:eastAsiaTheme="minorEastAsia" w:cstheme="minorEastAsia"/>
          <w:b/>
          <w:bCs/>
          <w:color w:val="auto"/>
          <w:highlight w:val="none"/>
        </w:rPr>
        <w:t>.4.</w:t>
      </w:r>
      <w:r>
        <w:rPr>
          <w:rFonts w:hint="eastAsia" w:asciiTheme="minorEastAsia" w:hAnsiTheme="minorEastAsia" w:eastAsiaTheme="minorEastAsia" w:cstheme="minorEastAsia"/>
          <w:b/>
          <w:bCs/>
          <w:color w:val="auto"/>
          <w:highlight w:val="none"/>
          <w:lang w:val="en-US" w:eastAsia="zh-CN"/>
        </w:rPr>
        <w:t>7</w:t>
      </w:r>
      <w:r>
        <w:rPr>
          <w:color w:val="auto"/>
          <w:highlight w:val="none"/>
        </w:rPr>
        <w:t xml:space="preserve"> 预制构件制作单位应具备相应的生产工艺设施，并应有完善的质量管理体系和必要的试验检测手段。</w:t>
      </w:r>
    </w:p>
    <w:p w14:paraId="4BAAD0D5">
      <w:pPr>
        <w:rPr>
          <w:rFonts w:ascii="宋体" w:hAnsi="宋体" w:cs="黑体"/>
          <w:color w:val="auto"/>
          <w:highlight w:val="none"/>
        </w:rPr>
      </w:pPr>
      <w:r>
        <w:rPr>
          <w:rFonts w:hint="eastAsia" w:ascii="宋体" w:hAnsi="宋体" w:cs="黑体"/>
          <w:color w:val="auto"/>
          <w:highlight w:val="none"/>
        </w:rPr>
        <w:t>【</w:t>
      </w:r>
      <w:r>
        <w:rPr>
          <w:rFonts w:hint="eastAsia"/>
          <w:b/>
          <w:color w:val="auto"/>
          <w:highlight w:val="none"/>
        </w:rPr>
        <w:t>条文说明：</w:t>
      </w:r>
      <w:r>
        <w:rPr>
          <w:rFonts w:hint="eastAsia"/>
          <w:color w:val="auto"/>
          <w:highlight w:val="none"/>
        </w:rPr>
        <w:t>小型综合管廊预制构件的质量涉及工程质量和结构安全，制作单位应满足国家及地方有关部门对硬件设施、人员配置、质量管理体系和质量检验手段等方面的规定和要求。预制构件制作前，建设单位应组织设计、生产、施工单位进行技术交底。如预制构件详图无法满足制作要求，应进行深化设计和施工验算，完善预制构件制作详图和施工装配详图，避免在构件加工和施工过程中，出现错、漏、碰、缺等问题。对应预留的孔洞及预埋部件，应在构件加工前进行认真核对，以免现场剔凿，造成损失。构件制作单位应制定生产方案，生产方案应包括生产工艺、模具方案、生产计划、技术质量控制措施、成品保护、堆放及运输方案等内容。</w:t>
      </w:r>
      <w:r>
        <w:rPr>
          <w:rFonts w:hint="eastAsia" w:ascii="宋体" w:hAnsi="宋体" w:cs="黑体"/>
          <w:color w:val="auto"/>
          <w:highlight w:val="none"/>
        </w:rPr>
        <w:t>】</w:t>
      </w:r>
    </w:p>
    <w:p w14:paraId="278D708A">
      <w:pPr>
        <w:rPr>
          <w:color w:val="auto"/>
          <w:highlight w:val="none"/>
        </w:rPr>
      </w:pPr>
      <w:r>
        <w:rPr>
          <w:rFonts w:hint="eastAsia" w:asciiTheme="minorEastAsia" w:hAnsiTheme="minorEastAsia" w:eastAsiaTheme="minorEastAsia" w:cstheme="minorEastAsia"/>
          <w:b/>
          <w:bCs/>
          <w:color w:val="auto"/>
          <w:highlight w:val="none"/>
          <w:lang w:val="en-US" w:eastAsia="zh-CN"/>
        </w:rPr>
        <w:t>9</w:t>
      </w:r>
      <w:r>
        <w:rPr>
          <w:rFonts w:hint="eastAsia" w:asciiTheme="minorEastAsia" w:hAnsiTheme="minorEastAsia" w:eastAsiaTheme="minorEastAsia" w:cstheme="minorEastAsia"/>
          <w:b/>
          <w:bCs/>
          <w:color w:val="auto"/>
          <w:highlight w:val="none"/>
        </w:rPr>
        <w:t>.4.</w:t>
      </w:r>
      <w:r>
        <w:rPr>
          <w:rFonts w:hint="eastAsia" w:asciiTheme="minorEastAsia" w:hAnsiTheme="minorEastAsia" w:eastAsiaTheme="minorEastAsia" w:cstheme="minorEastAsia"/>
          <w:b/>
          <w:bCs/>
          <w:color w:val="auto"/>
          <w:highlight w:val="none"/>
          <w:lang w:val="en-US" w:eastAsia="zh-CN"/>
        </w:rPr>
        <w:t>8</w:t>
      </w:r>
      <w:r>
        <w:rPr>
          <w:color w:val="auto"/>
          <w:highlight w:val="none"/>
        </w:rPr>
        <w:t xml:space="preserve"> 预制构件安装前应对其外观、裂缝等情况进行检验，并应按设计要求及国家现行标准《混凝土结构工程施工质量验收规范》GB 50204的有关规定进行结构性能检验。</w:t>
      </w:r>
    </w:p>
    <w:p w14:paraId="02E18F03">
      <w:pPr>
        <w:pStyle w:val="34"/>
        <w:spacing w:before="156" w:beforeLines="50" w:after="156" w:afterLines="50" w:line="400" w:lineRule="exact"/>
        <w:outlineLvl w:val="2"/>
        <w:rPr>
          <w:rFonts w:ascii="黑体" w:hAnsi="黑体" w:cs="黑体"/>
          <w:color w:val="auto"/>
          <w:sz w:val="21"/>
          <w:szCs w:val="21"/>
          <w:highlight w:val="none"/>
        </w:rPr>
      </w:pPr>
      <w:bookmarkStart w:id="176" w:name="_Toc5085"/>
      <w:bookmarkStart w:id="177" w:name="_Toc30727"/>
      <w:bookmarkStart w:id="178" w:name="_Toc21046"/>
      <w:r>
        <w:rPr>
          <w:rFonts w:hint="eastAsia" w:ascii="黑体" w:hAnsi="黑体" w:cs="黑体"/>
          <w:color w:val="auto"/>
          <w:sz w:val="21"/>
          <w:szCs w:val="21"/>
          <w:highlight w:val="none"/>
        </w:rPr>
        <w:t>9</w:t>
      </w:r>
      <w:r>
        <w:rPr>
          <w:rFonts w:ascii="黑体" w:hAnsi="黑体" w:cs="黑体"/>
          <w:color w:val="auto"/>
          <w:sz w:val="21"/>
          <w:szCs w:val="21"/>
          <w:highlight w:val="none"/>
        </w:rPr>
        <w:t>.</w:t>
      </w:r>
      <w:r>
        <w:rPr>
          <w:rFonts w:hint="eastAsia" w:ascii="黑体" w:hAnsi="黑体" w:cs="黑体"/>
          <w:color w:val="auto"/>
          <w:sz w:val="21"/>
          <w:szCs w:val="21"/>
          <w:highlight w:val="none"/>
          <w:lang w:val="en-US" w:eastAsia="zh-CN"/>
        </w:rPr>
        <w:t>5</w:t>
      </w:r>
      <w:r>
        <w:rPr>
          <w:rFonts w:hint="eastAsia" w:ascii="黑体" w:hAnsi="黑体" w:cs="黑体"/>
          <w:color w:val="auto"/>
          <w:sz w:val="21"/>
          <w:szCs w:val="21"/>
          <w:highlight w:val="none"/>
        </w:rPr>
        <w:t xml:space="preserve"> </w:t>
      </w:r>
      <w:r>
        <w:rPr>
          <w:rFonts w:hint="eastAsia" w:ascii="黑体" w:hAnsi="黑体" w:cs="黑体"/>
          <w:color w:val="auto"/>
          <w:sz w:val="21"/>
          <w:szCs w:val="21"/>
          <w:highlight w:val="none"/>
          <w:lang w:val="en-US" w:eastAsia="zh-CN"/>
        </w:rPr>
        <w:t>附属</w:t>
      </w:r>
      <w:r>
        <w:rPr>
          <w:rFonts w:hint="eastAsia" w:ascii="黑体" w:hAnsi="黑体" w:cs="黑体"/>
          <w:color w:val="auto"/>
          <w:sz w:val="21"/>
          <w:szCs w:val="21"/>
          <w:highlight w:val="none"/>
        </w:rPr>
        <w:t>工程</w:t>
      </w:r>
      <w:bookmarkEnd w:id="176"/>
      <w:bookmarkEnd w:id="177"/>
      <w:bookmarkEnd w:id="178"/>
    </w:p>
    <w:p w14:paraId="469586CC">
      <w:pPr>
        <w:rPr>
          <w:rFonts w:ascii="宋体" w:hAnsi="宋体" w:cs="黑体"/>
          <w:color w:val="auto"/>
          <w:highlight w:val="none"/>
        </w:rPr>
      </w:pPr>
      <w:r>
        <w:rPr>
          <w:rFonts w:hint="eastAsia" w:ascii="黑体" w:hAnsi="黑体" w:eastAsia="黑体" w:cs="黑体"/>
          <w:b/>
          <w:bCs/>
          <w:color w:val="auto"/>
          <w:highlight w:val="none"/>
        </w:rPr>
        <w:t>9</w:t>
      </w:r>
      <w:r>
        <w:rPr>
          <w:rFonts w:ascii="黑体" w:hAnsi="黑体" w:eastAsia="黑体" w:cs="黑体"/>
          <w:b/>
          <w:bCs/>
          <w:color w:val="auto"/>
          <w:highlight w:val="none"/>
        </w:rPr>
        <w:t>.</w:t>
      </w:r>
      <w:r>
        <w:rPr>
          <w:rFonts w:hint="eastAsia" w:ascii="黑体" w:hAnsi="黑体" w:eastAsia="黑体" w:cs="黑体"/>
          <w:b/>
          <w:bCs/>
          <w:color w:val="auto"/>
          <w:highlight w:val="none"/>
          <w:lang w:val="en-US" w:eastAsia="zh-CN"/>
        </w:rPr>
        <w:t>5</w:t>
      </w:r>
      <w:r>
        <w:rPr>
          <w:rFonts w:ascii="黑体" w:hAnsi="黑体" w:eastAsia="黑体" w:cs="黑体"/>
          <w:b/>
          <w:bCs/>
          <w:color w:val="auto"/>
          <w:highlight w:val="none"/>
        </w:rPr>
        <w:t xml:space="preserve">.1 </w:t>
      </w:r>
      <w:r>
        <w:rPr>
          <w:rFonts w:hint="eastAsia" w:ascii="宋体" w:hAnsi="宋体" w:cs="黑体"/>
          <w:color w:val="auto"/>
          <w:highlight w:val="none"/>
        </w:rPr>
        <w:t>小型综合管廊</w:t>
      </w:r>
      <w:r>
        <w:rPr>
          <w:rFonts w:ascii="宋体" w:hAnsi="宋体" w:cs="黑体"/>
          <w:color w:val="auto"/>
          <w:highlight w:val="none"/>
        </w:rPr>
        <w:t>预埋过路排管的管口应无毛刺和尖锐棱角。排管弯制后不应有裂缝和显著的凹瘪现象，弯扁程度不宜大于排管外径的10%。</w:t>
      </w:r>
    </w:p>
    <w:p w14:paraId="6C3509E6">
      <w:pPr>
        <w:rPr>
          <w:rFonts w:ascii="宋体" w:hAnsi="宋体" w:cs="黑体"/>
          <w:color w:val="auto"/>
          <w:highlight w:val="none"/>
        </w:rPr>
      </w:pPr>
      <w:r>
        <w:rPr>
          <w:rFonts w:hint="eastAsia" w:ascii="宋体" w:hAnsi="宋体" w:cs="黑体"/>
          <w:color w:val="auto"/>
          <w:highlight w:val="none"/>
        </w:rPr>
        <w:t>【</w:t>
      </w:r>
      <w:r>
        <w:rPr>
          <w:rFonts w:hint="eastAsia"/>
          <w:b/>
          <w:color w:val="auto"/>
          <w:highlight w:val="none"/>
        </w:rPr>
        <w:t>条文说明：</w:t>
      </w:r>
      <w:r>
        <w:rPr>
          <w:rFonts w:hint="eastAsia"/>
          <w:color w:val="auto"/>
          <w:highlight w:val="none"/>
        </w:rPr>
        <w:t>小型综合管廊过路排管主要是为了满足今后电缆的穿越敷设，管口出现毛刺或尖锐棱角会对电缆表皮造成破坏，因而应重点检查。</w:t>
      </w:r>
      <w:r>
        <w:rPr>
          <w:rFonts w:hint="eastAsia" w:ascii="宋体" w:hAnsi="宋体" w:cs="黑体"/>
          <w:color w:val="auto"/>
          <w:highlight w:val="none"/>
        </w:rPr>
        <w:t>】</w:t>
      </w:r>
    </w:p>
    <w:p w14:paraId="7C11B009">
      <w:pPr>
        <w:rPr>
          <w:rFonts w:ascii="宋体" w:hAnsi="宋体" w:cs="黑体"/>
          <w:color w:val="auto"/>
          <w:highlight w:val="none"/>
        </w:rPr>
      </w:pPr>
      <w:r>
        <w:rPr>
          <w:rFonts w:hint="eastAsia" w:ascii="黑体" w:hAnsi="黑体" w:eastAsia="黑体" w:cs="黑体"/>
          <w:b/>
          <w:bCs/>
          <w:color w:val="auto"/>
          <w:highlight w:val="none"/>
        </w:rPr>
        <w:t>9</w:t>
      </w:r>
      <w:r>
        <w:rPr>
          <w:rFonts w:ascii="黑体" w:hAnsi="黑体" w:eastAsia="黑体" w:cs="黑体"/>
          <w:b/>
          <w:bCs/>
          <w:color w:val="auto"/>
          <w:highlight w:val="none"/>
        </w:rPr>
        <w:t>.</w:t>
      </w:r>
      <w:r>
        <w:rPr>
          <w:rFonts w:hint="eastAsia" w:ascii="黑体" w:hAnsi="黑体" w:eastAsia="黑体" w:cs="黑体"/>
          <w:b/>
          <w:bCs/>
          <w:color w:val="auto"/>
          <w:highlight w:val="none"/>
          <w:lang w:val="en-US" w:eastAsia="zh-CN"/>
        </w:rPr>
        <w:t>5</w:t>
      </w:r>
      <w:r>
        <w:rPr>
          <w:rFonts w:ascii="黑体" w:hAnsi="黑体" w:eastAsia="黑体" w:cs="黑体"/>
          <w:b/>
          <w:bCs/>
          <w:color w:val="auto"/>
          <w:highlight w:val="none"/>
        </w:rPr>
        <w:t xml:space="preserve">.2 </w:t>
      </w:r>
      <w:r>
        <w:rPr>
          <w:rFonts w:hint="eastAsia" w:ascii="宋体" w:hAnsi="宋体" w:cs="黑体"/>
          <w:color w:val="auto"/>
          <w:highlight w:val="none"/>
        </w:rPr>
        <w:t>强弱电</w:t>
      </w:r>
      <w:r>
        <w:rPr>
          <w:rFonts w:ascii="宋体" w:hAnsi="宋体" w:cs="黑体"/>
          <w:color w:val="auto"/>
          <w:highlight w:val="none"/>
        </w:rPr>
        <w:t>排管</w:t>
      </w:r>
      <w:r>
        <w:rPr>
          <w:rFonts w:hint="eastAsia" w:ascii="宋体" w:hAnsi="宋体" w:cs="黑体"/>
          <w:color w:val="auto"/>
          <w:highlight w:val="none"/>
        </w:rPr>
        <w:t>安装</w:t>
      </w:r>
      <w:r>
        <w:rPr>
          <w:rFonts w:ascii="宋体" w:hAnsi="宋体" w:cs="黑体"/>
          <w:color w:val="auto"/>
          <w:highlight w:val="none"/>
        </w:rPr>
        <w:t>应符合下列规定：</w:t>
      </w:r>
    </w:p>
    <w:p w14:paraId="69BE168D">
      <w:pPr>
        <w:ind w:firstLine="420" w:firstLineChars="200"/>
        <w:rPr>
          <w:rFonts w:ascii="宋体" w:hAnsi="宋体" w:cs="黑体"/>
          <w:color w:val="auto"/>
          <w:highlight w:val="none"/>
        </w:rPr>
      </w:pPr>
      <w:r>
        <w:rPr>
          <w:rFonts w:hint="eastAsia" w:ascii="宋体" w:hAnsi="宋体" w:cs="黑体"/>
          <w:color w:val="auto"/>
          <w:highlight w:val="none"/>
        </w:rPr>
        <w:t>1 接续管头应错开布置，并保证排管组的整体形状统一。接续管头聚于一处时，应采取加强措施。</w:t>
      </w:r>
    </w:p>
    <w:p w14:paraId="03D1EAFF">
      <w:pPr>
        <w:ind w:firstLine="420" w:firstLineChars="200"/>
        <w:rPr>
          <w:rFonts w:ascii="宋体" w:hAnsi="宋体" w:cs="黑体"/>
          <w:color w:val="auto"/>
          <w:highlight w:val="none"/>
        </w:rPr>
      </w:pPr>
      <w:r>
        <w:rPr>
          <w:rFonts w:hint="eastAsia" w:ascii="宋体" w:hAnsi="宋体" w:cs="黑体"/>
          <w:color w:val="auto"/>
          <w:highlight w:val="none"/>
        </w:rPr>
        <w:t>2 排管连接接头应采取防水密封措施。</w:t>
      </w:r>
    </w:p>
    <w:p w14:paraId="4DF1D81E">
      <w:pPr>
        <w:ind w:firstLine="420" w:firstLineChars="200"/>
        <w:rPr>
          <w:rFonts w:ascii="宋体" w:hAnsi="宋体" w:cs="黑体"/>
          <w:color w:val="auto"/>
          <w:highlight w:val="none"/>
        </w:rPr>
      </w:pPr>
      <w:r>
        <w:rPr>
          <w:rFonts w:hint="eastAsia" w:ascii="宋体" w:hAnsi="宋体" w:cs="黑体"/>
          <w:color w:val="auto"/>
          <w:highlight w:val="none"/>
        </w:rPr>
        <w:t xml:space="preserve">3 </w:t>
      </w:r>
      <w:r>
        <w:rPr>
          <w:rFonts w:ascii="宋体" w:hAnsi="宋体" w:cs="黑体"/>
          <w:color w:val="auto"/>
          <w:highlight w:val="none"/>
        </w:rPr>
        <w:t>金属排管不得直接对焊，应采用套管焊接的方式。连接时管口应对准，连接应牢固，密封应良好。</w:t>
      </w:r>
    </w:p>
    <w:p w14:paraId="6E8A6ECF">
      <w:pPr>
        <w:ind w:firstLine="420" w:firstLineChars="200"/>
        <w:rPr>
          <w:rFonts w:ascii="宋体" w:hAnsi="宋体" w:cs="黑体"/>
          <w:color w:val="auto"/>
          <w:highlight w:val="none"/>
        </w:rPr>
      </w:pPr>
      <w:r>
        <w:rPr>
          <w:rFonts w:hint="eastAsia" w:ascii="宋体" w:hAnsi="宋体" w:cs="黑体"/>
          <w:color w:val="auto"/>
          <w:highlight w:val="none"/>
        </w:rPr>
        <w:t xml:space="preserve">4 </w:t>
      </w:r>
      <w:r>
        <w:rPr>
          <w:rFonts w:ascii="宋体" w:hAnsi="宋体" w:cs="黑体"/>
          <w:color w:val="auto"/>
          <w:highlight w:val="none"/>
        </w:rPr>
        <w:t>硬质塑料管在套接和插接时，插入深度宜为排管内径的1.1倍～1.8倍。插接面上应涂胶合剂粘牢密封。</w:t>
      </w:r>
    </w:p>
    <w:p w14:paraId="30FC8496">
      <w:pPr>
        <w:ind w:firstLine="420" w:firstLineChars="200"/>
        <w:rPr>
          <w:rFonts w:ascii="宋体" w:hAnsi="宋体" w:cs="黑体"/>
          <w:color w:val="auto"/>
          <w:highlight w:val="none"/>
        </w:rPr>
      </w:pPr>
      <w:r>
        <w:rPr>
          <w:rFonts w:hint="eastAsia" w:ascii="宋体" w:hAnsi="宋体" w:cs="黑体"/>
          <w:color w:val="auto"/>
          <w:highlight w:val="none"/>
        </w:rPr>
        <w:t>5</w:t>
      </w:r>
      <w:r>
        <w:rPr>
          <w:rFonts w:ascii="宋体" w:hAnsi="宋体" w:cs="黑体"/>
          <w:color w:val="auto"/>
          <w:highlight w:val="none"/>
        </w:rPr>
        <w:t xml:space="preserve"> </w:t>
      </w:r>
      <w:r>
        <w:rPr>
          <w:rFonts w:hint="eastAsia" w:ascii="宋体" w:hAnsi="宋体" w:cs="黑体"/>
          <w:color w:val="auto"/>
          <w:highlight w:val="none"/>
        </w:rPr>
        <w:t>排管建成后，应对各孔管道进行双向疏通检查。管道内不得有水泥结块及其他障碍物，衬管接头处应光滑无毛刺。</w:t>
      </w:r>
    </w:p>
    <w:p w14:paraId="67E5F422">
      <w:pPr>
        <w:rPr>
          <w:rFonts w:hint="eastAsia" w:ascii="宋体" w:hAnsi="宋体" w:eastAsia="宋体" w:cs="黑体"/>
          <w:color w:val="auto"/>
          <w:highlight w:val="none"/>
          <w:lang w:eastAsia="zh-CN"/>
        </w:rPr>
      </w:pPr>
      <w:r>
        <w:rPr>
          <w:rFonts w:hint="eastAsia" w:ascii="黑体" w:hAnsi="黑体" w:eastAsia="黑体" w:cs="黑体"/>
          <w:b/>
          <w:bCs/>
          <w:color w:val="auto"/>
          <w:highlight w:val="none"/>
        </w:rPr>
        <w:t>9.</w:t>
      </w:r>
      <w:r>
        <w:rPr>
          <w:rFonts w:hint="eastAsia" w:ascii="黑体" w:hAnsi="黑体" w:eastAsia="黑体" w:cs="黑体"/>
          <w:b/>
          <w:bCs/>
          <w:color w:val="auto"/>
          <w:highlight w:val="none"/>
          <w:lang w:eastAsia="zh-CN"/>
        </w:rPr>
        <w:t>5</w:t>
      </w:r>
      <w:r>
        <w:rPr>
          <w:rFonts w:hint="eastAsia" w:ascii="黑体" w:hAnsi="黑体" w:eastAsia="黑体" w:cs="黑体"/>
          <w:b/>
          <w:bCs/>
          <w:color w:val="auto"/>
          <w:highlight w:val="none"/>
        </w:rPr>
        <w:t>.3</w:t>
      </w:r>
      <w:r>
        <w:rPr>
          <w:rFonts w:hint="eastAsia" w:ascii="宋体" w:hAnsi="宋体" w:cs="黑体"/>
          <w:color w:val="auto"/>
          <w:highlight w:val="none"/>
        </w:rPr>
        <w:t xml:space="preserve"> 电缆支架和桥架宜选用钢制</w:t>
      </w:r>
      <w:r>
        <w:rPr>
          <w:rFonts w:hint="eastAsia" w:ascii="宋体" w:hAnsi="宋体" w:cs="黑体"/>
          <w:color w:val="auto"/>
          <w:highlight w:val="none"/>
          <w:lang w:eastAsia="zh-CN"/>
        </w:rPr>
        <w:t>。</w:t>
      </w:r>
      <w:r>
        <w:rPr>
          <w:rFonts w:hint="eastAsia"/>
          <w:color w:val="auto"/>
          <w:highlight w:val="none"/>
          <w:lang w:val="en-US" w:eastAsia="zh-CN"/>
        </w:rPr>
        <w:t>当</w:t>
      </w:r>
      <w:r>
        <w:rPr>
          <w:rFonts w:hint="eastAsia" w:ascii="宋体" w:hAnsi="宋体" w:cs="黑体"/>
          <w:color w:val="auto"/>
          <w:highlight w:val="none"/>
        </w:rPr>
        <w:t>工作电流大于等于1500A的交流系统单芯电缆时应选用非铁磁材料</w:t>
      </w:r>
      <w:r>
        <w:rPr>
          <w:rFonts w:hint="eastAsia" w:ascii="宋体" w:hAnsi="宋体" w:cs="黑体"/>
          <w:color w:val="auto"/>
          <w:highlight w:val="none"/>
          <w:lang w:eastAsia="zh-CN"/>
        </w:rPr>
        <w:t>。</w:t>
      </w:r>
    </w:p>
    <w:p w14:paraId="0668B809">
      <w:pPr>
        <w:rPr>
          <w:rFonts w:hint="default" w:ascii="Calibri" w:hAnsi="Calibri" w:cs="Times New Roman"/>
          <w:color w:val="auto"/>
          <w:highlight w:val="none"/>
        </w:rPr>
      </w:pPr>
      <w:r>
        <w:rPr>
          <w:rFonts w:hint="eastAsia" w:ascii="宋体" w:hAnsi="宋体" w:cs="黑体"/>
          <w:color w:val="auto"/>
          <w:highlight w:val="none"/>
        </w:rPr>
        <w:t>【</w:t>
      </w:r>
      <w:r>
        <w:rPr>
          <w:rFonts w:hint="eastAsia"/>
          <w:b/>
          <w:bCs/>
          <w:color w:val="auto"/>
          <w:highlight w:val="none"/>
        </w:rPr>
        <w:t>条文说明：</w:t>
      </w:r>
      <w:r>
        <w:rPr>
          <w:rFonts w:hint="eastAsia"/>
          <w:color w:val="auto"/>
          <w:highlight w:val="none"/>
        </w:rPr>
        <w:t>本条参考《电力工程电缆设计标准》GB 50217-2018 第6.2.2条和《电力电缆隧道设计规程》DLT 5484-2013第12.1.8条制订。</w:t>
      </w:r>
      <w:r>
        <w:rPr>
          <w:rFonts w:hint="eastAsia"/>
          <w:color w:val="auto"/>
          <w:highlight w:val="none"/>
          <w:lang w:val="en-US" w:eastAsia="zh-CN"/>
        </w:rPr>
        <w:t>①</w:t>
      </w:r>
      <w:r>
        <w:rPr>
          <w:rFonts w:hint="eastAsia"/>
          <w:color w:val="auto"/>
          <w:highlight w:val="none"/>
        </w:rPr>
        <w:t>《电力工程电缆设计标准》GB 50217-2018 第6.2.2条规定：电缆支架和桥架除支持工作电流大于1500A的交流系统单芯电缆外，宜选用钢制。</w:t>
      </w:r>
      <w:r>
        <w:rPr>
          <w:rFonts w:hint="eastAsia"/>
          <w:color w:val="auto"/>
          <w:highlight w:val="none"/>
          <w:lang w:val="en-US" w:eastAsia="zh-CN"/>
        </w:rPr>
        <w:t>②</w:t>
      </w:r>
      <w:r>
        <w:rPr>
          <w:rFonts w:hint="eastAsia"/>
          <w:color w:val="auto"/>
          <w:highlight w:val="none"/>
        </w:rPr>
        <w:t>《电力电缆隧道设计规程》DLT 5484-2013第12.1.8条规定：电缆支架支持工作电流大于1500A的交流系统单芯电缆时，宜选用非铁磁材料</w:t>
      </w:r>
      <w:r>
        <w:rPr>
          <w:rFonts w:hint="eastAsia" w:ascii="宋体" w:hAnsi="宋体" w:cs="黑体"/>
          <w:color w:val="auto"/>
          <w:highlight w:val="none"/>
          <w:lang w:val="en-US" w:eastAsia="zh-CN"/>
        </w:rPr>
        <w:t>。</w:t>
      </w:r>
      <w:r>
        <w:rPr>
          <w:rFonts w:hint="eastAsia" w:ascii="宋体" w:hAnsi="宋体" w:cs="黑体"/>
          <w:color w:val="auto"/>
          <w:highlight w:val="none"/>
        </w:rPr>
        <w:t>】</w:t>
      </w:r>
    </w:p>
    <w:p w14:paraId="7DC80142">
      <w:pPr>
        <w:rPr>
          <w:rFonts w:hint="eastAsia"/>
          <w:color w:val="auto"/>
          <w:highlight w:val="none"/>
        </w:rPr>
      </w:pPr>
      <w:r>
        <w:rPr>
          <w:rFonts w:hint="eastAsia" w:ascii="黑体" w:hAnsi="黑体" w:eastAsia="黑体" w:cs="黑体"/>
          <w:b/>
          <w:bCs/>
          <w:color w:val="auto"/>
          <w:highlight w:val="none"/>
        </w:rPr>
        <w:t>9.</w:t>
      </w:r>
      <w:r>
        <w:rPr>
          <w:rFonts w:hint="eastAsia" w:ascii="黑体" w:hAnsi="黑体" w:eastAsia="黑体" w:cs="黑体"/>
          <w:b/>
          <w:bCs/>
          <w:color w:val="auto"/>
          <w:highlight w:val="none"/>
          <w:lang w:val="en-US" w:eastAsia="zh-CN"/>
        </w:rPr>
        <w:t>5</w:t>
      </w:r>
      <w:r>
        <w:rPr>
          <w:rFonts w:hint="eastAsia" w:ascii="黑体" w:hAnsi="黑体" w:eastAsia="黑体" w:cs="黑体"/>
          <w:b/>
          <w:bCs/>
          <w:color w:val="auto"/>
          <w:highlight w:val="none"/>
        </w:rPr>
        <w:t>.</w:t>
      </w:r>
      <w:r>
        <w:rPr>
          <w:rFonts w:hint="eastAsia" w:ascii="黑体" w:hAnsi="黑体" w:eastAsia="黑体" w:cs="黑体"/>
          <w:b/>
          <w:bCs/>
          <w:color w:val="auto"/>
          <w:highlight w:val="none"/>
          <w:lang w:val="en-US" w:eastAsia="zh-CN"/>
        </w:rPr>
        <w:t>4</w:t>
      </w:r>
      <w:r>
        <w:rPr>
          <w:color w:val="auto"/>
          <w:highlight w:val="none"/>
        </w:rPr>
        <w:t xml:space="preserve"> </w:t>
      </w:r>
      <w:r>
        <w:rPr>
          <w:rFonts w:hint="default"/>
          <w:color w:val="auto"/>
          <w:highlight w:val="none"/>
          <w:lang w:val="en-US" w:eastAsia="zh-CN"/>
        </w:rPr>
        <w:t>小型综合</w:t>
      </w:r>
      <w:r>
        <w:rPr>
          <w:rFonts w:hint="default"/>
          <w:color w:val="auto"/>
          <w:highlight w:val="none"/>
        </w:rPr>
        <w:t>管廊外露结构物外观宜与周边环境协调。当检查井井盖位于人行道时，其表面宜作仿人行道铺装处理。</w:t>
      </w:r>
    </w:p>
    <w:p w14:paraId="60021DA4">
      <w:pPr>
        <w:rPr>
          <w:rFonts w:hint="default" w:ascii="宋体" w:hAnsi="宋体" w:cs="黑体"/>
          <w:color w:val="auto"/>
          <w:highlight w:val="none"/>
        </w:rPr>
      </w:pPr>
      <w:r>
        <w:rPr>
          <w:rFonts w:hint="eastAsia" w:ascii="黑体" w:hAnsi="黑体" w:eastAsia="黑体" w:cs="黑体"/>
          <w:b/>
          <w:bCs/>
          <w:color w:val="auto"/>
          <w:highlight w:val="none"/>
          <w:lang w:val="en-US" w:eastAsia="zh-CN"/>
        </w:rPr>
        <w:t>9.5.5</w:t>
      </w:r>
      <w:r>
        <w:rPr>
          <w:rFonts w:hint="eastAsia" w:ascii="宋体" w:hAnsi="宋体" w:cs="黑体"/>
          <w:b/>
          <w:bCs/>
          <w:color w:val="auto"/>
          <w:highlight w:val="none"/>
          <w:lang w:val="en-US" w:eastAsia="zh-CN"/>
        </w:rPr>
        <w:t xml:space="preserve"> </w:t>
      </w:r>
      <w:r>
        <w:rPr>
          <w:rFonts w:hint="eastAsia" w:ascii="宋体" w:hAnsi="宋体" w:cs="黑体"/>
          <w:color w:val="auto"/>
          <w:highlight w:val="none"/>
          <w:lang w:val="en-US" w:eastAsia="zh-CN"/>
        </w:rPr>
        <w:t>仪表工程的安装及验收应符合</w:t>
      </w:r>
      <w:r>
        <w:rPr>
          <w:rFonts w:ascii="宋体" w:hAnsi="宋体" w:cs="黑体"/>
          <w:color w:val="auto"/>
          <w:highlight w:val="none"/>
        </w:rPr>
        <w:t>现行国家标准</w:t>
      </w:r>
      <w:r>
        <w:rPr>
          <w:rFonts w:hint="eastAsia" w:ascii="宋体" w:hAnsi="宋体" w:cs="黑体"/>
          <w:color w:val="auto"/>
          <w:highlight w:val="none"/>
          <w:lang w:eastAsia="zh-CN"/>
        </w:rPr>
        <w:t>《</w:t>
      </w:r>
      <w:r>
        <w:rPr>
          <w:rFonts w:hint="eastAsia" w:ascii="宋体" w:hAnsi="宋体" w:cs="黑体"/>
          <w:color w:val="auto"/>
          <w:highlight w:val="none"/>
          <w:lang w:val="en-US" w:eastAsia="zh-CN"/>
        </w:rPr>
        <w:t>自动化仪表工程施工及质量验收规范</w:t>
      </w:r>
      <w:r>
        <w:rPr>
          <w:rFonts w:hint="eastAsia" w:ascii="宋体" w:hAnsi="宋体" w:cs="黑体"/>
          <w:color w:val="auto"/>
          <w:highlight w:val="none"/>
          <w:lang w:eastAsia="zh-CN"/>
        </w:rPr>
        <w:t>》</w:t>
      </w:r>
      <w:r>
        <w:rPr>
          <w:rFonts w:hint="eastAsia" w:ascii="宋体" w:hAnsi="宋体" w:cs="黑体"/>
          <w:color w:val="auto"/>
          <w:highlight w:val="none"/>
          <w:lang w:val="en-US" w:eastAsia="zh-CN"/>
        </w:rPr>
        <w:t>GB 50093的有关规定。</w:t>
      </w:r>
    </w:p>
    <w:p w14:paraId="676AC900">
      <w:pPr>
        <w:rPr>
          <w:rFonts w:ascii="宋体" w:hAnsi="宋体" w:cs="黑体"/>
          <w:color w:val="auto"/>
          <w:highlight w:val="none"/>
        </w:rPr>
      </w:pPr>
      <w:r>
        <w:rPr>
          <w:rFonts w:hint="eastAsia" w:ascii="黑体" w:hAnsi="黑体" w:eastAsia="黑体" w:cs="黑体"/>
          <w:b/>
          <w:bCs/>
          <w:color w:val="auto"/>
          <w:highlight w:val="none"/>
        </w:rPr>
        <w:t>9.</w:t>
      </w:r>
      <w:r>
        <w:rPr>
          <w:rFonts w:hint="eastAsia" w:ascii="黑体" w:hAnsi="黑体" w:eastAsia="黑体" w:cs="黑体"/>
          <w:b/>
          <w:bCs/>
          <w:color w:val="auto"/>
          <w:highlight w:val="none"/>
          <w:lang w:eastAsia="zh-CN"/>
        </w:rPr>
        <w:t>5</w:t>
      </w:r>
      <w:r>
        <w:rPr>
          <w:rFonts w:hint="eastAsia" w:ascii="黑体" w:hAnsi="黑体" w:eastAsia="黑体" w:cs="黑体"/>
          <w:b/>
          <w:bCs/>
          <w:color w:val="auto"/>
          <w:highlight w:val="none"/>
        </w:rPr>
        <w:t>.</w:t>
      </w:r>
      <w:r>
        <w:rPr>
          <w:rFonts w:hint="eastAsia" w:ascii="黑体" w:hAnsi="黑体" w:eastAsia="黑体" w:cs="黑体"/>
          <w:b/>
          <w:bCs/>
          <w:color w:val="auto"/>
          <w:highlight w:val="none"/>
          <w:lang w:val="en-US" w:eastAsia="zh-CN"/>
        </w:rPr>
        <w:t>6</w:t>
      </w:r>
      <w:r>
        <w:rPr>
          <w:rFonts w:hint="eastAsia" w:ascii="黑体" w:hAnsi="黑体" w:eastAsia="黑体" w:cs="黑体"/>
          <w:b/>
          <w:bCs/>
          <w:color w:val="auto"/>
          <w:highlight w:val="none"/>
        </w:rPr>
        <w:t xml:space="preserve"> </w:t>
      </w:r>
      <w:r>
        <w:rPr>
          <w:rFonts w:hint="eastAsia" w:ascii="宋体" w:hAnsi="宋体" w:cs="黑体"/>
          <w:color w:val="auto"/>
          <w:highlight w:val="none"/>
        </w:rPr>
        <w:t>电缆</w:t>
      </w:r>
      <w:r>
        <w:rPr>
          <w:rFonts w:ascii="宋体" w:hAnsi="宋体" w:cs="黑体"/>
          <w:color w:val="auto"/>
          <w:highlight w:val="none"/>
        </w:rPr>
        <w:t>支架的加工、安装及验收应符合现行国家标准《电气装置安装工程电缆线路施工及验收</w:t>
      </w:r>
      <w:r>
        <w:rPr>
          <w:rFonts w:hint="eastAsia" w:ascii="宋体" w:hAnsi="宋体" w:cs="黑体"/>
          <w:color w:val="auto"/>
          <w:highlight w:val="none"/>
        </w:rPr>
        <w:t>标准</w:t>
      </w:r>
      <w:r>
        <w:rPr>
          <w:rFonts w:ascii="宋体" w:hAnsi="宋体" w:cs="黑体"/>
          <w:color w:val="auto"/>
          <w:highlight w:val="none"/>
        </w:rPr>
        <w:t>》GB 50168的有关规定。</w:t>
      </w:r>
    </w:p>
    <w:p w14:paraId="19401896">
      <w:pPr>
        <w:rPr>
          <w:rFonts w:ascii="宋体" w:hAnsi="宋体" w:cs="黑体"/>
          <w:color w:val="auto"/>
          <w:highlight w:val="none"/>
        </w:rPr>
      </w:pPr>
      <w:r>
        <w:rPr>
          <w:rFonts w:hint="eastAsia" w:ascii="黑体" w:hAnsi="黑体" w:eastAsia="黑体" w:cs="黑体"/>
          <w:b/>
          <w:bCs/>
          <w:color w:val="auto"/>
          <w:highlight w:val="none"/>
        </w:rPr>
        <w:t>9</w:t>
      </w:r>
      <w:r>
        <w:rPr>
          <w:rFonts w:ascii="黑体" w:hAnsi="黑体" w:eastAsia="黑体" w:cs="黑体"/>
          <w:b/>
          <w:bCs/>
          <w:color w:val="auto"/>
          <w:highlight w:val="none"/>
        </w:rPr>
        <w:t>.</w:t>
      </w:r>
      <w:r>
        <w:rPr>
          <w:rFonts w:hint="eastAsia" w:ascii="黑体" w:hAnsi="黑体" w:eastAsia="黑体" w:cs="黑体"/>
          <w:b/>
          <w:bCs/>
          <w:color w:val="auto"/>
          <w:highlight w:val="none"/>
          <w:lang w:eastAsia="zh-CN"/>
        </w:rPr>
        <w:t>5</w:t>
      </w:r>
      <w:r>
        <w:rPr>
          <w:rFonts w:ascii="黑体" w:hAnsi="黑体" w:eastAsia="黑体" w:cs="黑体"/>
          <w:b/>
          <w:bCs/>
          <w:color w:val="auto"/>
          <w:highlight w:val="none"/>
        </w:rPr>
        <w:t>.</w:t>
      </w:r>
      <w:r>
        <w:rPr>
          <w:rFonts w:hint="eastAsia" w:ascii="黑体" w:hAnsi="黑体" w:eastAsia="黑体" w:cs="黑体"/>
          <w:b/>
          <w:bCs/>
          <w:color w:val="auto"/>
          <w:highlight w:val="none"/>
          <w:lang w:val="en-US" w:eastAsia="zh-CN"/>
        </w:rPr>
        <w:t>7</w:t>
      </w:r>
      <w:r>
        <w:rPr>
          <w:rFonts w:ascii="黑体" w:hAnsi="黑体" w:eastAsia="黑体" w:cs="黑体"/>
          <w:b/>
          <w:bCs/>
          <w:color w:val="auto"/>
          <w:highlight w:val="none"/>
        </w:rPr>
        <w:t xml:space="preserve"> </w:t>
      </w:r>
      <w:r>
        <w:rPr>
          <w:rFonts w:hint="default" w:ascii="宋体" w:hAnsi="宋体" w:eastAsia="宋体" w:cs="黑体"/>
          <w:b w:val="0"/>
          <w:bCs w:val="0"/>
          <w:color w:val="auto"/>
          <w:highlight w:val="none"/>
          <w:lang w:val="en-US" w:eastAsia="zh-CN"/>
        </w:rPr>
        <w:t>电气设备、照明、</w:t>
      </w:r>
      <w:r>
        <w:rPr>
          <w:rFonts w:ascii="宋体" w:hAnsi="宋体" w:cs="黑体"/>
          <w:color w:val="auto"/>
          <w:highlight w:val="none"/>
        </w:rPr>
        <w:t>接地施工安装及验收应符合现行国家标准《电气装置安装工程电缆线路施工及验收</w:t>
      </w:r>
      <w:r>
        <w:rPr>
          <w:rFonts w:hint="eastAsia" w:ascii="宋体" w:hAnsi="宋体" w:cs="黑体"/>
          <w:color w:val="auto"/>
          <w:highlight w:val="none"/>
        </w:rPr>
        <w:t>标准</w:t>
      </w:r>
      <w:r>
        <w:rPr>
          <w:rFonts w:ascii="宋体" w:hAnsi="宋体" w:cs="黑体"/>
          <w:color w:val="auto"/>
          <w:highlight w:val="none"/>
        </w:rPr>
        <w:t>》GB 50168</w:t>
      </w:r>
      <w:r>
        <w:rPr>
          <w:rFonts w:hint="eastAsia" w:ascii="宋体" w:hAnsi="宋体" w:cs="黑体"/>
          <w:color w:val="auto"/>
          <w:highlight w:val="none"/>
          <w:lang w:eastAsia="zh-CN"/>
        </w:rPr>
        <w:t>、《</w:t>
      </w:r>
      <w:r>
        <w:rPr>
          <w:rFonts w:hint="eastAsia" w:ascii="宋体" w:hAnsi="宋体" w:cs="黑体"/>
          <w:color w:val="auto"/>
          <w:highlight w:val="none"/>
          <w:lang w:val="en-US" w:eastAsia="zh-CN"/>
        </w:rPr>
        <w:t>建筑电气工程施工质量验收规范</w:t>
      </w:r>
      <w:r>
        <w:rPr>
          <w:rFonts w:hint="eastAsia" w:ascii="宋体" w:hAnsi="宋体" w:cs="黑体"/>
          <w:color w:val="auto"/>
          <w:highlight w:val="none"/>
          <w:lang w:eastAsia="zh-CN"/>
        </w:rPr>
        <w:t>》</w:t>
      </w:r>
      <w:r>
        <w:rPr>
          <w:rFonts w:hint="eastAsia" w:ascii="宋体" w:hAnsi="宋体" w:cs="黑体"/>
          <w:color w:val="auto"/>
          <w:highlight w:val="none"/>
          <w:lang w:val="en-US" w:eastAsia="zh-CN"/>
        </w:rPr>
        <w:t>GB 50303、《建筑电气照明装置施工与验收规范》GB 50617和</w:t>
      </w:r>
      <w:r>
        <w:rPr>
          <w:rFonts w:ascii="宋体" w:hAnsi="宋体" w:cs="黑体"/>
          <w:color w:val="auto"/>
          <w:highlight w:val="none"/>
        </w:rPr>
        <w:t>《电气装置安装工程接地装置施工及验收规范》GB 50169的有关规定。</w:t>
      </w:r>
    </w:p>
    <w:p w14:paraId="6CB09EC5">
      <w:pPr>
        <w:rPr>
          <w:rFonts w:hint="eastAsia" w:ascii="宋体" w:hAnsi="宋体" w:cs="黑体"/>
          <w:color w:val="auto"/>
          <w:highlight w:val="none"/>
        </w:rPr>
      </w:pPr>
      <w:r>
        <w:rPr>
          <w:rFonts w:hint="eastAsia" w:ascii="黑体" w:hAnsi="黑体" w:eastAsia="黑体" w:cs="黑体"/>
          <w:b/>
          <w:bCs/>
          <w:color w:val="auto"/>
          <w:highlight w:val="none"/>
        </w:rPr>
        <w:t>9</w:t>
      </w:r>
      <w:r>
        <w:rPr>
          <w:rFonts w:ascii="黑体" w:hAnsi="黑体" w:eastAsia="黑体" w:cs="黑体"/>
          <w:b/>
          <w:bCs/>
          <w:color w:val="auto"/>
          <w:highlight w:val="none"/>
        </w:rPr>
        <w:t>.</w:t>
      </w:r>
      <w:r>
        <w:rPr>
          <w:rFonts w:hint="eastAsia" w:ascii="黑体" w:hAnsi="黑体" w:eastAsia="黑体" w:cs="黑体"/>
          <w:b/>
          <w:bCs/>
          <w:color w:val="auto"/>
          <w:highlight w:val="none"/>
          <w:lang w:eastAsia="zh-CN"/>
        </w:rPr>
        <w:t>5</w:t>
      </w:r>
      <w:r>
        <w:rPr>
          <w:rFonts w:ascii="黑体" w:hAnsi="黑体" w:eastAsia="黑体" w:cs="黑体"/>
          <w:b/>
          <w:bCs/>
          <w:color w:val="auto"/>
          <w:highlight w:val="none"/>
        </w:rPr>
        <w:t>.</w:t>
      </w:r>
      <w:r>
        <w:rPr>
          <w:rFonts w:hint="eastAsia" w:ascii="黑体" w:hAnsi="黑体" w:eastAsia="黑体" w:cs="黑体"/>
          <w:b/>
          <w:bCs/>
          <w:color w:val="auto"/>
          <w:highlight w:val="none"/>
          <w:lang w:val="en-US" w:eastAsia="zh-CN"/>
        </w:rPr>
        <w:t>8</w:t>
      </w:r>
      <w:r>
        <w:rPr>
          <w:rFonts w:ascii="黑体" w:hAnsi="黑体" w:eastAsia="黑体" w:cs="黑体"/>
          <w:b/>
          <w:bCs/>
          <w:color w:val="auto"/>
          <w:highlight w:val="none"/>
        </w:rPr>
        <w:t xml:space="preserve"> </w:t>
      </w:r>
      <w:r>
        <w:rPr>
          <w:rFonts w:hint="eastAsia" w:ascii="宋体" w:hAnsi="宋体" w:cs="黑体"/>
          <w:b w:val="0"/>
          <w:bCs w:val="0"/>
          <w:color w:val="auto"/>
          <w:highlight w:val="none"/>
          <w:lang w:val="en-US" w:eastAsia="zh-CN"/>
        </w:rPr>
        <w:t>火灾自动报警系统</w:t>
      </w:r>
      <w:r>
        <w:rPr>
          <w:rFonts w:ascii="宋体" w:hAnsi="宋体" w:cs="黑体"/>
          <w:color w:val="auto"/>
          <w:highlight w:val="none"/>
        </w:rPr>
        <w:t>施工及验收应符合现行国家标准《</w:t>
      </w:r>
      <w:r>
        <w:rPr>
          <w:rFonts w:hint="eastAsia" w:ascii="宋体" w:hAnsi="宋体" w:cs="黑体"/>
          <w:color w:val="auto"/>
          <w:highlight w:val="none"/>
          <w:lang w:val="en-US" w:eastAsia="zh-CN"/>
        </w:rPr>
        <w:t>火灾自动报警系统施工及验收标准</w:t>
      </w:r>
      <w:r>
        <w:rPr>
          <w:rFonts w:ascii="宋体" w:hAnsi="宋体" w:cs="黑体"/>
          <w:color w:val="auto"/>
          <w:highlight w:val="none"/>
        </w:rPr>
        <w:t>》GB 5016</w:t>
      </w:r>
      <w:r>
        <w:rPr>
          <w:rFonts w:hint="eastAsia" w:ascii="宋体" w:hAnsi="宋体" w:cs="黑体"/>
          <w:color w:val="auto"/>
          <w:highlight w:val="none"/>
          <w:lang w:val="en-US" w:eastAsia="zh-CN"/>
        </w:rPr>
        <w:t>6</w:t>
      </w:r>
      <w:r>
        <w:rPr>
          <w:rFonts w:ascii="宋体" w:hAnsi="宋体" w:cs="黑体"/>
          <w:color w:val="auto"/>
          <w:highlight w:val="none"/>
        </w:rPr>
        <w:t>的有关规定。</w:t>
      </w:r>
      <w:r>
        <w:rPr>
          <w:rFonts w:hint="eastAsia" w:ascii="宋体" w:hAnsi="宋体" w:cs="黑体"/>
          <w:color w:val="auto"/>
          <w:highlight w:val="none"/>
          <w:lang w:val="en-US" w:eastAsia="zh-CN"/>
        </w:rPr>
        <w:t xml:space="preserve"> </w:t>
      </w:r>
    </w:p>
    <w:p w14:paraId="6E56923A">
      <w:pPr>
        <w:pStyle w:val="34"/>
        <w:spacing w:before="156" w:beforeLines="50" w:after="156" w:afterLines="50" w:line="400" w:lineRule="exact"/>
        <w:outlineLvl w:val="2"/>
        <w:rPr>
          <w:rFonts w:ascii="黑体" w:hAnsi="黑体" w:cs="黑体"/>
          <w:color w:val="auto"/>
          <w:sz w:val="21"/>
          <w:szCs w:val="21"/>
          <w:highlight w:val="none"/>
        </w:rPr>
      </w:pPr>
      <w:bookmarkStart w:id="179" w:name="_Toc23919"/>
      <w:bookmarkStart w:id="180" w:name="_Toc17149"/>
      <w:bookmarkStart w:id="181" w:name="_Toc468"/>
      <w:r>
        <w:rPr>
          <w:rFonts w:hint="eastAsia" w:ascii="黑体" w:hAnsi="黑体" w:cs="黑体"/>
          <w:color w:val="auto"/>
          <w:sz w:val="21"/>
          <w:szCs w:val="21"/>
          <w:highlight w:val="none"/>
        </w:rPr>
        <w:t>9</w:t>
      </w:r>
      <w:r>
        <w:rPr>
          <w:rFonts w:ascii="黑体" w:hAnsi="黑体" w:cs="黑体"/>
          <w:color w:val="auto"/>
          <w:sz w:val="21"/>
          <w:szCs w:val="21"/>
          <w:highlight w:val="none"/>
        </w:rPr>
        <w:t>.</w:t>
      </w:r>
      <w:r>
        <w:rPr>
          <w:rFonts w:hint="eastAsia" w:ascii="黑体" w:hAnsi="黑体" w:cs="黑体"/>
          <w:color w:val="auto"/>
          <w:sz w:val="21"/>
          <w:szCs w:val="21"/>
          <w:highlight w:val="none"/>
          <w:lang w:val="en-US" w:eastAsia="zh-CN"/>
        </w:rPr>
        <w:t>6</w:t>
      </w:r>
      <w:r>
        <w:rPr>
          <w:rFonts w:hint="eastAsia" w:ascii="黑体" w:hAnsi="黑体" w:cs="黑体"/>
          <w:color w:val="auto"/>
          <w:sz w:val="21"/>
          <w:szCs w:val="21"/>
          <w:highlight w:val="none"/>
        </w:rPr>
        <w:t xml:space="preserve"> 管线</w:t>
      </w:r>
      <w:bookmarkEnd w:id="179"/>
      <w:bookmarkEnd w:id="180"/>
      <w:bookmarkEnd w:id="181"/>
    </w:p>
    <w:p w14:paraId="0A835852">
      <w:pPr>
        <w:rPr>
          <w:rFonts w:ascii="宋体" w:hAnsi="宋体" w:cs="黑体"/>
          <w:color w:val="auto"/>
          <w:highlight w:val="none"/>
        </w:rPr>
      </w:pPr>
      <w:r>
        <w:rPr>
          <w:rFonts w:hint="eastAsia" w:ascii="黑体" w:hAnsi="黑体" w:eastAsia="黑体" w:cs="黑体"/>
          <w:b/>
          <w:bCs/>
          <w:color w:val="auto"/>
          <w:highlight w:val="none"/>
        </w:rPr>
        <w:t>9</w:t>
      </w:r>
      <w:r>
        <w:rPr>
          <w:rFonts w:ascii="黑体" w:hAnsi="黑体" w:eastAsia="黑体" w:cs="黑体"/>
          <w:b/>
          <w:bCs/>
          <w:color w:val="auto"/>
          <w:highlight w:val="none"/>
        </w:rPr>
        <w:t>.</w:t>
      </w:r>
      <w:r>
        <w:rPr>
          <w:rFonts w:hint="eastAsia" w:ascii="黑体" w:hAnsi="黑体" w:eastAsia="黑体" w:cs="黑体"/>
          <w:b/>
          <w:bCs/>
          <w:color w:val="auto"/>
          <w:highlight w:val="none"/>
          <w:lang w:val="en-US" w:eastAsia="zh-CN"/>
        </w:rPr>
        <w:t>6</w:t>
      </w:r>
      <w:r>
        <w:rPr>
          <w:rFonts w:ascii="黑体" w:hAnsi="黑体" w:eastAsia="黑体" w:cs="黑体"/>
          <w:b/>
          <w:bCs/>
          <w:color w:val="auto"/>
          <w:highlight w:val="none"/>
        </w:rPr>
        <w:t xml:space="preserve">.1 </w:t>
      </w:r>
      <w:r>
        <w:rPr>
          <w:rFonts w:ascii="宋体" w:hAnsi="宋体" w:cs="黑体"/>
          <w:color w:val="auto"/>
          <w:highlight w:val="none"/>
        </w:rPr>
        <w:t>管线施工及验收应符合本规范第</w:t>
      </w:r>
      <w:r>
        <w:rPr>
          <w:rFonts w:hint="eastAsia" w:ascii="宋体" w:hAnsi="宋体" w:cs="黑体"/>
          <w:color w:val="auto"/>
          <w:highlight w:val="none"/>
        </w:rPr>
        <w:t>6</w:t>
      </w:r>
      <w:r>
        <w:rPr>
          <w:rFonts w:ascii="宋体" w:hAnsi="宋体" w:cs="黑体"/>
          <w:color w:val="auto"/>
          <w:highlight w:val="none"/>
        </w:rPr>
        <w:t>章的有关规定。</w:t>
      </w:r>
    </w:p>
    <w:p w14:paraId="26476A7E">
      <w:pPr>
        <w:rPr>
          <w:rFonts w:ascii="宋体" w:hAnsi="宋体" w:cs="黑体"/>
          <w:color w:val="auto"/>
          <w:highlight w:val="none"/>
        </w:rPr>
      </w:pPr>
      <w:r>
        <w:rPr>
          <w:rFonts w:hint="eastAsia" w:ascii="黑体" w:hAnsi="黑体" w:eastAsia="黑体" w:cs="黑体"/>
          <w:b/>
          <w:bCs/>
          <w:color w:val="auto"/>
          <w:highlight w:val="none"/>
        </w:rPr>
        <w:t>9</w:t>
      </w:r>
      <w:r>
        <w:rPr>
          <w:rFonts w:ascii="黑体" w:hAnsi="黑体" w:eastAsia="黑体" w:cs="黑体"/>
          <w:b/>
          <w:bCs/>
          <w:color w:val="auto"/>
          <w:highlight w:val="none"/>
        </w:rPr>
        <w:t>.</w:t>
      </w:r>
      <w:r>
        <w:rPr>
          <w:rFonts w:hint="eastAsia" w:ascii="黑体" w:hAnsi="黑体" w:eastAsia="黑体" w:cs="黑体"/>
          <w:b/>
          <w:bCs/>
          <w:color w:val="auto"/>
          <w:highlight w:val="none"/>
          <w:lang w:val="en-US" w:eastAsia="zh-CN"/>
        </w:rPr>
        <w:t>6</w:t>
      </w:r>
      <w:r>
        <w:rPr>
          <w:rFonts w:ascii="黑体" w:hAnsi="黑体" w:eastAsia="黑体" w:cs="黑体"/>
          <w:b/>
          <w:bCs/>
          <w:color w:val="auto"/>
          <w:highlight w:val="none"/>
        </w:rPr>
        <w:t xml:space="preserve">.2 </w:t>
      </w:r>
      <w:r>
        <w:rPr>
          <w:rFonts w:ascii="宋体" w:hAnsi="宋体" w:cs="黑体"/>
          <w:color w:val="auto"/>
          <w:highlight w:val="none"/>
        </w:rPr>
        <w:t>电力电缆施工及验收应符合国家现行标准《电气装置安装工程电缆线路施工及验收</w:t>
      </w:r>
      <w:r>
        <w:rPr>
          <w:rFonts w:hint="eastAsia" w:ascii="宋体" w:hAnsi="宋体" w:cs="黑体"/>
          <w:color w:val="auto"/>
          <w:highlight w:val="none"/>
        </w:rPr>
        <w:t>标准</w:t>
      </w:r>
      <w:r>
        <w:rPr>
          <w:rFonts w:ascii="宋体" w:hAnsi="宋体" w:cs="黑体"/>
          <w:color w:val="auto"/>
          <w:highlight w:val="none"/>
        </w:rPr>
        <w:t>》GB 50168和《电气装置安装工程接地装置施工及验收规范》GB 50169的有关规定。</w:t>
      </w:r>
    </w:p>
    <w:p w14:paraId="2ED6AC25">
      <w:pPr>
        <w:rPr>
          <w:rFonts w:ascii="宋体" w:hAnsi="宋体" w:cs="黑体"/>
          <w:color w:val="auto"/>
          <w:highlight w:val="none"/>
        </w:rPr>
      </w:pPr>
      <w:r>
        <w:rPr>
          <w:rFonts w:hint="eastAsia" w:ascii="黑体" w:hAnsi="黑体" w:eastAsia="黑体" w:cs="黑体"/>
          <w:b/>
          <w:bCs/>
          <w:color w:val="auto"/>
          <w:highlight w:val="none"/>
        </w:rPr>
        <w:t>9</w:t>
      </w:r>
      <w:r>
        <w:rPr>
          <w:rFonts w:ascii="黑体" w:hAnsi="黑体" w:eastAsia="黑体" w:cs="黑体"/>
          <w:b/>
          <w:bCs/>
          <w:color w:val="auto"/>
          <w:highlight w:val="none"/>
        </w:rPr>
        <w:t>.</w:t>
      </w:r>
      <w:r>
        <w:rPr>
          <w:rFonts w:hint="eastAsia" w:ascii="黑体" w:hAnsi="黑体" w:eastAsia="黑体" w:cs="黑体"/>
          <w:b/>
          <w:bCs/>
          <w:color w:val="auto"/>
          <w:highlight w:val="none"/>
          <w:lang w:val="en-US" w:eastAsia="zh-CN"/>
        </w:rPr>
        <w:t>6</w:t>
      </w:r>
      <w:r>
        <w:rPr>
          <w:rFonts w:ascii="黑体" w:hAnsi="黑体" w:eastAsia="黑体" w:cs="黑体"/>
          <w:b/>
          <w:bCs/>
          <w:color w:val="auto"/>
          <w:highlight w:val="none"/>
        </w:rPr>
        <w:t>.3</w:t>
      </w:r>
      <w:r>
        <w:rPr>
          <w:rFonts w:hint="eastAsia" w:ascii="黑体" w:hAnsi="黑体" w:eastAsia="黑体" w:cs="黑体"/>
          <w:b/>
          <w:bCs/>
          <w:color w:val="auto"/>
          <w:highlight w:val="none"/>
        </w:rPr>
        <w:t xml:space="preserve"> </w:t>
      </w:r>
      <w:r>
        <w:rPr>
          <w:rFonts w:ascii="宋体" w:hAnsi="宋体" w:cs="黑体"/>
          <w:color w:val="auto"/>
          <w:highlight w:val="none"/>
        </w:rPr>
        <w:t>通信管线施工及验收应符合国家现行标准《综合布线系统工程验收规范》GB/T 50312、《通信线路工程验收规范》GB 51171和行业现行标准《光缆进线室验收规定》YD/T 5152的有关规定。</w:t>
      </w:r>
    </w:p>
    <w:p w14:paraId="0452E455">
      <w:pPr>
        <w:rPr>
          <w:rFonts w:hint="eastAsia" w:ascii="宋体" w:hAnsi="宋体" w:eastAsia="宋体" w:cs="黑体"/>
          <w:color w:val="auto"/>
          <w:highlight w:val="none"/>
          <w:lang w:eastAsia="zh-CN"/>
        </w:rPr>
      </w:pPr>
      <w:r>
        <w:rPr>
          <w:rFonts w:hint="eastAsia" w:ascii="黑体" w:hAnsi="黑体" w:eastAsia="黑体" w:cs="黑体"/>
          <w:b/>
          <w:bCs/>
          <w:color w:val="auto"/>
          <w:highlight w:val="none"/>
        </w:rPr>
        <w:t>9.</w:t>
      </w:r>
      <w:r>
        <w:rPr>
          <w:rFonts w:hint="eastAsia" w:ascii="黑体" w:hAnsi="黑体" w:eastAsia="黑体" w:cs="黑体"/>
          <w:b/>
          <w:bCs/>
          <w:color w:val="auto"/>
          <w:highlight w:val="none"/>
          <w:lang w:val="en-US" w:eastAsia="zh-CN"/>
        </w:rPr>
        <w:t>6</w:t>
      </w:r>
      <w:r>
        <w:rPr>
          <w:rFonts w:hint="eastAsia" w:ascii="黑体" w:hAnsi="黑体" w:eastAsia="黑体" w:cs="黑体"/>
          <w:b/>
          <w:bCs/>
          <w:color w:val="auto"/>
          <w:highlight w:val="none"/>
        </w:rPr>
        <w:t>.</w:t>
      </w:r>
      <w:r>
        <w:rPr>
          <w:rFonts w:hint="eastAsia" w:ascii="黑体" w:hAnsi="黑体" w:eastAsia="黑体" w:cs="黑体"/>
          <w:b/>
          <w:bCs/>
          <w:color w:val="auto"/>
          <w:highlight w:val="none"/>
          <w:lang w:val="en-US" w:eastAsia="zh-CN"/>
        </w:rPr>
        <w:t>4</w:t>
      </w:r>
      <w:r>
        <w:rPr>
          <w:rFonts w:hint="eastAsia" w:ascii="黑体" w:hAnsi="黑体" w:eastAsia="黑体" w:cs="黑体"/>
          <w:b/>
          <w:bCs/>
          <w:color w:val="auto"/>
          <w:highlight w:val="none"/>
        </w:rPr>
        <w:t xml:space="preserve"> </w:t>
      </w:r>
      <w:r>
        <w:rPr>
          <w:rFonts w:hint="eastAsia" w:ascii="宋体" w:hAnsi="宋体" w:cs="黑体"/>
          <w:color w:val="auto"/>
          <w:highlight w:val="none"/>
        </w:rPr>
        <w:t>给水、排水管道施工及验收应符合现行国家标准《给水排水管道工程施工及验收规范》GB 50268的有关规定</w:t>
      </w:r>
      <w:r>
        <w:rPr>
          <w:rFonts w:hint="eastAsia" w:ascii="宋体" w:hAnsi="宋体" w:cs="黑体"/>
          <w:color w:val="auto"/>
          <w:highlight w:val="none"/>
          <w:lang w:eastAsia="zh-CN"/>
        </w:rPr>
        <w:t>。</w:t>
      </w:r>
    </w:p>
    <w:bookmarkEnd w:id="159"/>
    <w:bookmarkEnd w:id="160"/>
    <w:bookmarkEnd w:id="161"/>
    <w:bookmarkEnd w:id="162"/>
    <w:p w14:paraId="42770655">
      <w:pPr>
        <w:widowControl/>
        <w:adjustRightInd/>
        <w:spacing w:line="240" w:lineRule="auto"/>
        <w:jc w:val="left"/>
        <w:rPr>
          <w:rFonts w:ascii="Times New Roman" w:hAnsi="Times New Roman"/>
          <w:bCs/>
          <w:color w:val="auto"/>
          <w:sz w:val="32"/>
          <w:szCs w:val="32"/>
          <w:highlight w:val="none"/>
        </w:rPr>
      </w:pPr>
      <w:r>
        <w:rPr>
          <w:rFonts w:ascii="Times New Roman" w:hAnsi="Times New Roman"/>
          <w:bCs/>
          <w:color w:val="auto"/>
          <w:sz w:val="32"/>
          <w:szCs w:val="32"/>
          <w:highlight w:val="none"/>
        </w:rPr>
        <w:br w:type="page"/>
      </w:r>
    </w:p>
    <w:p w14:paraId="1B0D388C">
      <w:pPr>
        <w:pStyle w:val="2"/>
        <w:spacing w:before="300" w:after="300" w:line="400" w:lineRule="exact"/>
        <w:jc w:val="center"/>
        <w:rPr>
          <w:rFonts w:ascii="黑体" w:hAnsi="黑体"/>
          <w:color w:val="auto"/>
          <w:highlight w:val="none"/>
        </w:rPr>
      </w:pPr>
      <w:bookmarkStart w:id="182" w:name="_Toc5624"/>
      <w:bookmarkStart w:id="183" w:name="_Toc1274"/>
      <w:bookmarkStart w:id="184" w:name="_Toc6987"/>
      <w:r>
        <w:rPr>
          <w:rFonts w:hint="eastAsia" w:ascii="黑体" w:hAnsi="黑体"/>
          <w:color w:val="auto"/>
          <w:highlight w:val="none"/>
        </w:rPr>
        <w:t xml:space="preserve">10  </w:t>
      </w:r>
      <w:r>
        <w:rPr>
          <w:rFonts w:hint="eastAsia" w:ascii="黑体" w:hAnsi="黑体"/>
          <w:color w:val="auto"/>
          <w:highlight w:val="none"/>
          <w:lang w:val="en-US" w:eastAsia="zh-CN"/>
        </w:rPr>
        <w:t>运行</w:t>
      </w:r>
      <w:r>
        <w:rPr>
          <w:rFonts w:hint="eastAsia" w:ascii="黑体" w:hAnsi="黑体"/>
          <w:color w:val="auto"/>
          <w:highlight w:val="none"/>
        </w:rPr>
        <w:t>维护管理</w:t>
      </w:r>
      <w:bookmarkEnd w:id="182"/>
      <w:bookmarkEnd w:id="183"/>
      <w:bookmarkEnd w:id="184"/>
    </w:p>
    <w:p w14:paraId="601608E6">
      <w:pPr>
        <w:pStyle w:val="34"/>
        <w:spacing w:before="156" w:beforeLines="50" w:after="156" w:afterLines="50" w:line="400" w:lineRule="exact"/>
        <w:outlineLvl w:val="2"/>
        <w:rPr>
          <w:rFonts w:hint="eastAsia" w:ascii="黑体" w:hAnsi="黑体" w:cs="黑体"/>
          <w:color w:val="auto"/>
          <w:sz w:val="21"/>
          <w:szCs w:val="21"/>
          <w:highlight w:val="none"/>
        </w:rPr>
      </w:pPr>
      <w:bookmarkStart w:id="185" w:name="_Toc23"/>
      <w:bookmarkStart w:id="186" w:name="_Toc9990"/>
      <w:bookmarkStart w:id="187" w:name="_Toc23087"/>
      <w:r>
        <w:rPr>
          <w:rFonts w:hint="eastAsia" w:ascii="黑体" w:hAnsi="黑体" w:cs="黑体"/>
          <w:color w:val="auto"/>
          <w:sz w:val="21"/>
          <w:szCs w:val="21"/>
          <w:highlight w:val="none"/>
        </w:rPr>
        <w:t>10.1 维护</w:t>
      </w:r>
      <w:bookmarkEnd w:id="185"/>
      <w:bookmarkEnd w:id="186"/>
      <w:bookmarkEnd w:id="187"/>
    </w:p>
    <w:p w14:paraId="6A407AAD">
      <w:pPr>
        <w:rPr>
          <w:rFonts w:ascii="Times New Roman" w:hAnsi="Times New Roman"/>
          <w:color w:val="auto"/>
          <w:highlight w:val="none"/>
        </w:rPr>
      </w:pPr>
      <w:r>
        <w:rPr>
          <w:rFonts w:hint="eastAsia" w:ascii="黑体" w:hAnsi="黑体" w:eastAsia="黑体" w:cs="黑体"/>
          <w:b/>
          <w:bCs/>
          <w:color w:val="auto"/>
          <w:highlight w:val="none"/>
        </w:rPr>
        <w:t xml:space="preserve">10.1.1 </w:t>
      </w:r>
      <w:r>
        <w:rPr>
          <w:rFonts w:hint="eastAsia" w:ascii="Times New Roman" w:hAnsi="Times New Roman"/>
          <w:color w:val="auto"/>
          <w:highlight w:val="none"/>
        </w:rPr>
        <w:t>小型综合管廊建成后，应由专业单位进行日常管理。</w:t>
      </w:r>
    </w:p>
    <w:p w14:paraId="4D98BBC0">
      <w:pPr>
        <w:rPr>
          <w:rFonts w:hint="eastAsia" w:ascii="Times New Roman" w:hAnsi="Times New Roman"/>
          <w:color w:val="auto"/>
          <w:highlight w:val="none"/>
        </w:rPr>
      </w:pPr>
      <w:r>
        <w:rPr>
          <w:rFonts w:hint="eastAsia" w:ascii="黑体" w:hAnsi="黑体" w:eastAsia="黑体" w:cs="黑体"/>
          <w:b/>
          <w:bCs/>
          <w:color w:val="auto"/>
          <w:highlight w:val="none"/>
        </w:rPr>
        <w:t xml:space="preserve">10.1.2 </w:t>
      </w:r>
      <w:r>
        <w:rPr>
          <w:rFonts w:hint="eastAsia" w:ascii="Times New Roman" w:hAnsi="Times New Roman"/>
          <w:color w:val="auto"/>
          <w:highlight w:val="none"/>
        </w:rPr>
        <w:t>小型综合管廊的管廊运营维护单位应建立健全维护管理制度和工程维护档案，并应会同各专业管线单位编制管线运行维护管理办法、实施细则及应急预案。</w:t>
      </w:r>
    </w:p>
    <w:p w14:paraId="4293F1DD">
      <w:pPr>
        <w:rPr>
          <w:color w:val="auto"/>
          <w:spacing w:val="-3"/>
          <w:highlight w:val="none"/>
        </w:rPr>
      </w:pPr>
      <w:r>
        <w:rPr>
          <w:rFonts w:hint="eastAsia" w:ascii="黑体" w:hAnsi="黑体" w:eastAsia="黑体" w:cs="黑体"/>
          <w:b/>
          <w:bCs/>
          <w:color w:val="auto"/>
          <w:spacing w:val="0"/>
          <w:highlight w:val="none"/>
          <w:lang w:val="en-US" w:eastAsia="zh-CN"/>
        </w:rPr>
        <w:t xml:space="preserve">10.1.3 </w:t>
      </w:r>
      <w:r>
        <w:rPr>
          <w:rFonts w:hint="default" w:ascii="Calibri" w:hAnsi="Calibri" w:eastAsia="宋体" w:cs="Times New Roman"/>
          <w:b w:val="0"/>
          <w:bCs w:val="0"/>
          <w:color w:val="auto"/>
          <w:spacing w:val="-2"/>
          <w:highlight w:val="none"/>
          <w:lang w:val="en-US" w:eastAsia="zh-CN"/>
        </w:rPr>
        <w:t>小型</w:t>
      </w:r>
      <w:r>
        <w:rPr>
          <w:color w:val="auto"/>
          <w:spacing w:val="-2"/>
          <w:highlight w:val="none"/>
        </w:rPr>
        <w:t>综合管廊附属设施运行维护及安全管理对象</w:t>
      </w:r>
      <w:r>
        <w:rPr>
          <w:color w:val="auto"/>
          <w:spacing w:val="-2"/>
          <w:highlight w:val="none"/>
          <w:u w:val="none" w:color="auto"/>
        </w:rPr>
        <w:t>应</w:t>
      </w:r>
      <w:r>
        <w:rPr>
          <w:color w:val="auto"/>
          <w:spacing w:val="-2"/>
          <w:highlight w:val="none"/>
        </w:rPr>
        <w:t>包括</w:t>
      </w:r>
      <w:r>
        <w:rPr>
          <w:color w:val="auto"/>
          <w:spacing w:val="-3"/>
          <w:highlight w:val="none"/>
        </w:rPr>
        <w:t>供电、监控与报警、给水排水及标识等系统。</w:t>
      </w:r>
    </w:p>
    <w:p w14:paraId="6A3D661A">
      <w:pPr>
        <w:rPr>
          <w:rFonts w:hint="eastAsia"/>
          <w:color w:val="auto"/>
          <w:spacing w:val="-3"/>
          <w:highlight w:val="none"/>
        </w:rPr>
      </w:pPr>
      <w:r>
        <w:rPr>
          <w:rFonts w:hint="eastAsia" w:ascii="黑体" w:hAnsi="黑体" w:eastAsia="黑体" w:cs="黑体"/>
          <w:b/>
          <w:bCs/>
          <w:color w:val="auto"/>
          <w:highlight w:val="none"/>
          <w:lang w:val="en-US" w:eastAsia="zh-CN"/>
        </w:rPr>
        <w:t xml:space="preserve">10.1.4 </w:t>
      </w:r>
      <w:r>
        <w:rPr>
          <w:rFonts w:hint="eastAsia" w:ascii="Times New Roman" w:hAnsi="Times New Roman" w:eastAsia="宋体" w:cs="Times New Roman"/>
          <w:b w:val="0"/>
          <w:bCs w:val="0"/>
          <w:color w:val="auto"/>
          <w:highlight w:val="none"/>
          <w:lang w:val="en-US" w:eastAsia="zh-CN"/>
        </w:rPr>
        <w:t>对</w:t>
      </w:r>
      <w:r>
        <w:rPr>
          <w:rFonts w:hint="eastAsia" w:ascii="Times New Roman" w:hAnsi="Times New Roman"/>
          <w:color w:val="auto"/>
          <w:highlight w:val="none"/>
          <w:lang w:val="en-US" w:eastAsia="zh-CN"/>
        </w:rPr>
        <w:t>小型</w:t>
      </w:r>
      <w:r>
        <w:rPr>
          <w:rFonts w:hint="eastAsia"/>
          <w:color w:val="auto"/>
          <w:highlight w:val="none"/>
        </w:rPr>
        <w:t>综合管廊宜建立基于网络技术的信息化应急响应系统</w:t>
      </w:r>
      <w:r>
        <w:rPr>
          <w:color w:val="auto"/>
          <w:highlight w:val="none"/>
        </w:rPr>
        <w:t xml:space="preserve">, </w:t>
      </w:r>
      <w:r>
        <w:rPr>
          <w:rFonts w:hint="eastAsia"/>
          <w:color w:val="auto"/>
          <w:highlight w:val="none"/>
          <w:lang w:val="en-US" w:eastAsia="zh-CN"/>
        </w:rPr>
        <w:t>结合</w:t>
      </w:r>
      <w:r>
        <w:rPr>
          <w:rFonts w:hint="eastAsia"/>
          <w:color w:val="auto"/>
          <w:highlight w:val="none"/>
        </w:rPr>
        <w:t>实时监测、自动化控制</w:t>
      </w:r>
      <w:r>
        <w:rPr>
          <w:rFonts w:hint="eastAsia"/>
          <w:color w:val="auto"/>
          <w:highlight w:val="none"/>
          <w:lang w:eastAsia="zh-CN"/>
        </w:rPr>
        <w:t>，</w:t>
      </w:r>
      <w:r>
        <w:rPr>
          <w:rFonts w:hint="eastAsia"/>
          <w:color w:val="auto"/>
          <w:highlight w:val="none"/>
        </w:rPr>
        <w:t>并做好与其他信息管理系统的衔接，实现平台、数据和</w:t>
      </w:r>
      <w:r>
        <w:rPr>
          <w:rFonts w:hint="eastAsia"/>
          <w:color w:val="auto"/>
          <w:highlight w:val="none"/>
          <w:lang w:val="en-US" w:eastAsia="zh-CN"/>
        </w:rPr>
        <w:t>现场运行维护</w:t>
      </w:r>
      <w:r>
        <w:rPr>
          <w:rFonts w:hint="eastAsia"/>
          <w:color w:val="auto"/>
          <w:highlight w:val="none"/>
        </w:rPr>
        <w:t>。</w:t>
      </w:r>
    </w:p>
    <w:p w14:paraId="58121C62">
      <w:pPr>
        <w:rPr>
          <w:rFonts w:ascii="Times New Roman" w:hAnsi="Times New Roman"/>
          <w:color w:val="auto"/>
          <w:highlight w:val="none"/>
        </w:rPr>
      </w:pPr>
      <w:r>
        <w:rPr>
          <w:rFonts w:hint="eastAsia" w:ascii="黑体" w:hAnsi="黑体" w:eastAsia="黑体" w:cs="黑体"/>
          <w:b/>
          <w:bCs/>
          <w:color w:val="auto"/>
          <w:highlight w:val="none"/>
        </w:rPr>
        <w:t>10.1.</w:t>
      </w:r>
      <w:r>
        <w:rPr>
          <w:rFonts w:hint="eastAsia" w:ascii="黑体" w:hAnsi="黑体" w:eastAsia="黑体" w:cs="黑体"/>
          <w:b/>
          <w:bCs/>
          <w:color w:val="auto"/>
          <w:highlight w:val="none"/>
          <w:lang w:val="en-US" w:eastAsia="zh-CN"/>
        </w:rPr>
        <w:t>5</w:t>
      </w:r>
      <w:r>
        <w:rPr>
          <w:rFonts w:hint="eastAsia" w:ascii="Times New Roman" w:hAnsi="Times New Roman"/>
          <w:color w:val="auto"/>
          <w:highlight w:val="none"/>
        </w:rPr>
        <w:t xml:space="preserve"> 小型综合管廊内的各专业管线单位应配合小型综合管廊日常管理单位工作，确保小型综合管廊及管线的安全运营。</w:t>
      </w:r>
    </w:p>
    <w:p w14:paraId="7B361B7D">
      <w:pPr>
        <w:rPr>
          <w:rFonts w:hint="eastAsia" w:ascii="Times New Roman" w:hAnsi="Times New Roman"/>
          <w:color w:val="auto"/>
          <w:highlight w:val="none"/>
        </w:rPr>
      </w:pPr>
      <w:r>
        <w:rPr>
          <w:rFonts w:hint="eastAsia" w:ascii="黑体" w:hAnsi="黑体" w:eastAsia="黑体" w:cs="黑体"/>
          <w:b/>
          <w:bCs/>
          <w:color w:val="auto"/>
          <w:highlight w:val="none"/>
        </w:rPr>
        <w:t>10.1.</w:t>
      </w:r>
      <w:r>
        <w:rPr>
          <w:rFonts w:hint="eastAsia" w:ascii="黑体" w:hAnsi="黑体" w:eastAsia="黑体" w:cs="黑体"/>
          <w:b/>
          <w:bCs/>
          <w:color w:val="auto"/>
          <w:highlight w:val="none"/>
          <w:lang w:val="en-US" w:eastAsia="zh-CN"/>
        </w:rPr>
        <w:t>6</w:t>
      </w:r>
      <w:r>
        <w:rPr>
          <w:rFonts w:hint="eastAsia" w:ascii="黑体" w:hAnsi="黑体" w:eastAsia="黑体" w:cs="黑体"/>
          <w:b/>
          <w:bCs/>
          <w:color w:val="auto"/>
          <w:highlight w:val="none"/>
        </w:rPr>
        <w:t xml:space="preserve"> </w:t>
      </w:r>
      <w:r>
        <w:rPr>
          <w:rFonts w:hint="eastAsia" w:ascii="Times New Roman" w:hAnsi="Times New Roman"/>
          <w:color w:val="auto"/>
          <w:highlight w:val="none"/>
        </w:rPr>
        <w:t>各专业管线单位应编制</w:t>
      </w:r>
      <w:r>
        <w:rPr>
          <w:rFonts w:hint="eastAsia" w:ascii="Times New Roman" w:hAnsi="Times New Roman"/>
          <w:color w:val="auto"/>
          <w:highlight w:val="none"/>
          <w:lang w:val="en-US" w:eastAsia="zh-CN"/>
        </w:rPr>
        <w:t>所属</w:t>
      </w:r>
      <w:r>
        <w:rPr>
          <w:rFonts w:hint="eastAsia" w:ascii="Times New Roman" w:hAnsi="Times New Roman"/>
          <w:color w:val="auto"/>
          <w:highlight w:val="none"/>
        </w:rPr>
        <w:t>管线的维护</w:t>
      </w:r>
      <w:r>
        <w:rPr>
          <w:rFonts w:hint="eastAsia" w:ascii="Times New Roman" w:hAnsi="Times New Roman"/>
          <w:color w:val="auto"/>
          <w:highlight w:val="none"/>
          <w:lang w:val="en-US" w:eastAsia="zh-CN"/>
        </w:rPr>
        <w:t>维修</w:t>
      </w:r>
      <w:r>
        <w:rPr>
          <w:rFonts w:hint="eastAsia" w:ascii="Times New Roman" w:hAnsi="Times New Roman"/>
          <w:color w:val="auto"/>
          <w:highlight w:val="none"/>
        </w:rPr>
        <w:t>计划，</w:t>
      </w:r>
      <w:r>
        <w:rPr>
          <w:rFonts w:hint="eastAsia" w:ascii="Times New Roman" w:hAnsi="Times New Roman"/>
          <w:color w:val="auto"/>
          <w:highlight w:val="none"/>
          <w:lang w:val="en-US" w:eastAsia="zh-CN"/>
        </w:rPr>
        <w:t>并应报送综合管廊日常管理单位，经协调后统一安排管线的维修时间，</w:t>
      </w:r>
      <w:r>
        <w:rPr>
          <w:rFonts w:hint="eastAsia" w:ascii="Times New Roman" w:hAnsi="Times New Roman"/>
          <w:color w:val="auto"/>
          <w:highlight w:val="none"/>
        </w:rPr>
        <w:t>并及时维修；停止运行、封存、报废的管线应采取必要的安全防护措施。</w:t>
      </w:r>
    </w:p>
    <w:p w14:paraId="2DBD9477">
      <w:pPr>
        <w:rPr>
          <w:rFonts w:ascii="Times New Roman" w:hAnsi="Times New Roman"/>
          <w:color w:val="auto"/>
          <w:highlight w:val="none"/>
        </w:rPr>
      </w:pPr>
      <w:r>
        <w:rPr>
          <w:rFonts w:hint="eastAsia" w:ascii="黑体" w:hAnsi="黑体" w:eastAsia="黑体" w:cs="黑体"/>
          <w:b/>
          <w:bCs/>
          <w:color w:val="auto"/>
          <w:highlight w:val="none"/>
        </w:rPr>
        <w:t>10.1.</w:t>
      </w:r>
      <w:r>
        <w:rPr>
          <w:rFonts w:hint="eastAsia" w:ascii="黑体" w:hAnsi="黑体" w:eastAsia="黑体" w:cs="黑体"/>
          <w:b/>
          <w:bCs/>
          <w:color w:val="auto"/>
          <w:highlight w:val="none"/>
          <w:lang w:val="en-US" w:eastAsia="zh-CN"/>
        </w:rPr>
        <w:t xml:space="preserve">7 </w:t>
      </w:r>
      <w:r>
        <w:rPr>
          <w:rFonts w:hint="eastAsia" w:ascii="Times New Roman" w:hAnsi="Times New Roman"/>
          <w:color w:val="auto"/>
          <w:highlight w:val="none"/>
        </w:rPr>
        <w:t>城市其他建设工程施工需要迁建、改建小型综合管廊设施时，应报经城市行政主管部门批准后方可实施。</w:t>
      </w:r>
    </w:p>
    <w:p w14:paraId="5513385B">
      <w:pPr>
        <w:rPr>
          <w:rFonts w:hint="eastAsia" w:ascii="Times New Roman" w:hAnsi="Times New Roman"/>
          <w:color w:val="auto"/>
          <w:highlight w:val="none"/>
        </w:rPr>
      </w:pPr>
      <w:r>
        <w:rPr>
          <w:rFonts w:hint="eastAsia" w:ascii="黑体" w:hAnsi="黑体" w:eastAsia="黑体" w:cs="黑体"/>
          <w:b/>
          <w:bCs/>
          <w:color w:val="auto"/>
          <w:highlight w:val="none"/>
        </w:rPr>
        <w:t>10.1.</w:t>
      </w:r>
      <w:r>
        <w:rPr>
          <w:rFonts w:hint="eastAsia" w:ascii="黑体" w:hAnsi="黑体" w:eastAsia="黑体" w:cs="黑体"/>
          <w:b/>
          <w:bCs/>
          <w:color w:val="auto"/>
          <w:highlight w:val="none"/>
          <w:lang w:val="en-US" w:eastAsia="zh-CN"/>
        </w:rPr>
        <w:t>8</w:t>
      </w:r>
      <w:r>
        <w:rPr>
          <w:rFonts w:hint="eastAsia" w:ascii="黑体" w:hAnsi="黑体" w:eastAsia="黑体" w:cs="黑体"/>
          <w:b/>
          <w:bCs/>
          <w:color w:val="auto"/>
          <w:highlight w:val="none"/>
        </w:rPr>
        <w:t xml:space="preserve"> </w:t>
      </w:r>
      <w:r>
        <w:rPr>
          <w:rFonts w:hint="eastAsia" w:ascii="Times New Roman" w:hAnsi="Times New Roman"/>
          <w:color w:val="auto"/>
          <w:highlight w:val="none"/>
        </w:rPr>
        <w:t>城市其他建设工程毗邻小型综合管廊设施，</w:t>
      </w:r>
      <w:r>
        <w:rPr>
          <w:rFonts w:hint="eastAsia"/>
          <w:color w:val="auto"/>
          <w:highlight w:val="none"/>
        </w:rPr>
        <w:t>距主体结构外边线</w:t>
      </w:r>
      <w:r>
        <w:rPr>
          <w:rFonts w:hint="eastAsia"/>
          <w:color w:val="auto"/>
          <w:highlight w:val="none"/>
          <w:lang w:val="en-US" w:eastAsia="zh-CN"/>
        </w:rPr>
        <w:t>3m内为小型</w:t>
      </w:r>
      <w:r>
        <w:rPr>
          <w:rFonts w:hint="eastAsia"/>
          <w:color w:val="auto"/>
          <w:highlight w:val="none"/>
        </w:rPr>
        <w:t>管廊安全保护区</w:t>
      </w:r>
      <w:r>
        <w:rPr>
          <w:rFonts w:hint="eastAsia"/>
          <w:color w:val="auto"/>
          <w:highlight w:val="none"/>
          <w:lang w:val="en-US" w:eastAsia="zh-CN"/>
        </w:rPr>
        <w:t>禁止作业；</w:t>
      </w:r>
      <w:r>
        <w:rPr>
          <w:rFonts w:hint="eastAsia"/>
          <w:color w:val="auto"/>
          <w:highlight w:val="none"/>
        </w:rPr>
        <w:t>距主体结构外边线</w:t>
      </w:r>
      <w:r>
        <w:rPr>
          <w:color w:val="auto"/>
          <w:highlight w:val="none"/>
        </w:rPr>
        <w:t>15m</w:t>
      </w:r>
      <w:r>
        <w:rPr>
          <w:rFonts w:hint="eastAsia"/>
          <w:color w:val="auto"/>
          <w:highlight w:val="none"/>
          <w:lang w:val="en-US" w:eastAsia="zh-CN"/>
        </w:rPr>
        <w:t>内为小型</w:t>
      </w:r>
      <w:r>
        <w:rPr>
          <w:rFonts w:hint="eastAsia"/>
          <w:color w:val="auto"/>
          <w:highlight w:val="none"/>
        </w:rPr>
        <w:t>管廊安全控制区</w:t>
      </w:r>
      <w:r>
        <w:rPr>
          <w:rFonts w:hint="eastAsia"/>
          <w:color w:val="auto"/>
          <w:highlight w:val="none"/>
          <w:lang w:eastAsia="zh-CN"/>
        </w:rPr>
        <w:t>，</w:t>
      </w:r>
      <w:r>
        <w:rPr>
          <w:rFonts w:hint="eastAsia" w:ascii="Times New Roman" w:hAnsi="Times New Roman"/>
          <w:color w:val="auto"/>
          <w:highlight w:val="none"/>
        </w:rPr>
        <w:t>应</w:t>
      </w:r>
      <w:r>
        <w:rPr>
          <w:rFonts w:hint="eastAsia" w:ascii="Times New Roman" w:hAnsi="Times New Roman"/>
          <w:color w:val="auto"/>
          <w:highlight w:val="none"/>
          <w:lang w:val="en-US" w:eastAsia="zh-CN"/>
        </w:rPr>
        <w:t>按有关规定</w:t>
      </w:r>
      <w:r>
        <w:rPr>
          <w:rFonts w:hint="eastAsia" w:ascii="Times New Roman" w:hAnsi="Times New Roman"/>
          <w:color w:val="auto"/>
          <w:highlight w:val="none"/>
        </w:rPr>
        <w:t>预留安全间距，并应采取施工安全保护、监测措施。</w:t>
      </w:r>
    </w:p>
    <w:p w14:paraId="2C7D8B32">
      <w:pPr>
        <w:rPr>
          <w:rFonts w:ascii="Times New Roman" w:hAnsi="Times New Roman"/>
          <w:color w:val="auto"/>
          <w:highlight w:val="none"/>
        </w:rPr>
      </w:pPr>
      <w:r>
        <w:rPr>
          <w:rFonts w:hint="eastAsia" w:ascii="黑体" w:hAnsi="黑体" w:eastAsia="黑体" w:cs="黑体"/>
          <w:b/>
          <w:bCs/>
          <w:color w:val="auto"/>
          <w:highlight w:val="none"/>
        </w:rPr>
        <w:t>10.1.</w:t>
      </w:r>
      <w:r>
        <w:rPr>
          <w:rFonts w:hint="eastAsia" w:ascii="黑体" w:hAnsi="黑体" w:eastAsia="黑体" w:cs="黑体"/>
          <w:b/>
          <w:bCs/>
          <w:color w:val="auto"/>
          <w:highlight w:val="none"/>
          <w:lang w:val="en-US" w:eastAsia="zh-CN"/>
        </w:rPr>
        <w:t>9</w:t>
      </w:r>
      <w:r>
        <w:rPr>
          <w:rFonts w:hint="eastAsia" w:ascii="黑体" w:hAnsi="黑体" w:eastAsia="黑体" w:cs="黑体"/>
          <w:b/>
          <w:bCs/>
          <w:color w:val="auto"/>
          <w:highlight w:val="none"/>
        </w:rPr>
        <w:t xml:space="preserve"> </w:t>
      </w:r>
      <w:r>
        <w:rPr>
          <w:rFonts w:hint="eastAsia" w:ascii="Times New Roman" w:hAnsi="Times New Roman"/>
          <w:color w:val="auto"/>
          <w:highlight w:val="none"/>
        </w:rPr>
        <w:t>小型综合管廊电力电缆运行维护及安全管理尚应符合国家现行标准《电力安全工作规程》GB 26859、《电力电缆线路运行规程》DL/T 1253</w:t>
      </w:r>
      <w:r>
        <w:rPr>
          <w:rFonts w:hint="eastAsia" w:ascii="Times New Roman" w:hAnsi="Times New Roman"/>
          <w:color w:val="auto"/>
          <w:highlight w:val="none"/>
          <w:lang w:val="en-US" w:eastAsia="zh-CN"/>
        </w:rPr>
        <w:t>和《电力电缆及通道运维规程》Q/GDW1512-2014</w:t>
      </w:r>
      <w:r>
        <w:rPr>
          <w:rFonts w:hint="eastAsia" w:ascii="Times New Roman" w:hAnsi="Times New Roman"/>
          <w:color w:val="auto"/>
          <w:highlight w:val="none"/>
        </w:rPr>
        <w:t>的有关规定。</w:t>
      </w:r>
    </w:p>
    <w:p w14:paraId="74923F6A">
      <w:pPr>
        <w:rPr>
          <w:rFonts w:ascii="Times New Roman" w:hAnsi="Times New Roman"/>
          <w:color w:val="auto"/>
          <w:highlight w:val="none"/>
        </w:rPr>
      </w:pPr>
      <w:r>
        <w:rPr>
          <w:rFonts w:hint="eastAsia" w:ascii="黑体" w:hAnsi="黑体" w:eastAsia="黑体" w:cs="黑体"/>
          <w:b/>
          <w:bCs/>
          <w:color w:val="auto"/>
          <w:highlight w:val="none"/>
        </w:rPr>
        <w:t>10.1.</w:t>
      </w:r>
      <w:r>
        <w:rPr>
          <w:rFonts w:hint="eastAsia" w:ascii="黑体" w:hAnsi="黑体" w:eastAsia="黑体" w:cs="黑体"/>
          <w:b/>
          <w:bCs/>
          <w:color w:val="auto"/>
          <w:highlight w:val="none"/>
          <w:lang w:val="en-US" w:eastAsia="zh-CN"/>
        </w:rPr>
        <w:t>10</w:t>
      </w:r>
      <w:r>
        <w:rPr>
          <w:rFonts w:hint="eastAsia" w:ascii="Times New Roman" w:hAnsi="Times New Roman"/>
          <w:color w:val="auto"/>
          <w:highlight w:val="none"/>
        </w:rPr>
        <w:t xml:space="preserve"> 给水管道的维护管理应符合现行行业标准《城镇供水管网运行、维护及安全技术规程》CJJ 207的有关规定。</w:t>
      </w:r>
    </w:p>
    <w:p w14:paraId="4E6934B4">
      <w:pPr>
        <w:rPr>
          <w:rFonts w:ascii="Times New Roman" w:hAnsi="Times New Roman"/>
          <w:color w:val="auto"/>
          <w:highlight w:val="none"/>
        </w:rPr>
      </w:pPr>
      <w:r>
        <w:rPr>
          <w:rFonts w:hint="eastAsia" w:ascii="黑体" w:hAnsi="黑体" w:eastAsia="黑体" w:cs="黑体"/>
          <w:b/>
          <w:bCs/>
          <w:color w:val="auto"/>
          <w:highlight w:val="none"/>
        </w:rPr>
        <w:t>10.1.</w:t>
      </w:r>
      <w:r>
        <w:rPr>
          <w:rFonts w:hint="eastAsia" w:ascii="黑体" w:hAnsi="黑体" w:eastAsia="黑体" w:cs="黑体"/>
          <w:b/>
          <w:bCs/>
          <w:color w:val="auto"/>
          <w:highlight w:val="none"/>
          <w:lang w:val="en-US" w:eastAsia="zh-CN"/>
        </w:rPr>
        <w:t>11</w:t>
      </w:r>
      <w:r>
        <w:rPr>
          <w:rFonts w:hint="eastAsia" w:ascii="Times New Roman" w:hAnsi="Times New Roman"/>
          <w:color w:val="auto"/>
          <w:highlight w:val="none"/>
        </w:rPr>
        <w:t xml:space="preserve"> 小型综合管廊内排水</w:t>
      </w:r>
      <w:r>
        <w:rPr>
          <w:rFonts w:hint="eastAsia" w:ascii="Times New Roman" w:hAnsi="Times New Roman"/>
          <w:color w:val="auto"/>
          <w:highlight w:val="none"/>
          <w:lang w:eastAsia="zh-CN"/>
        </w:rPr>
        <w:t>系统</w:t>
      </w:r>
      <w:r>
        <w:rPr>
          <w:rFonts w:hint="eastAsia" w:ascii="Times New Roman" w:hAnsi="Times New Roman"/>
          <w:color w:val="auto"/>
          <w:highlight w:val="none"/>
        </w:rPr>
        <w:t>的维护管理应符合现行行业标准《城镇排水管道维护安全技术规程》CJJ6和《城镇排水管渠与泵站维护技术规程》CJJ68的有关规定。</w:t>
      </w:r>
    </w:p>
    <w:p w14:paraId="5E65064F">
      <w:pPr>
        <w:rPr>
          <w:rFonts w:hint="eastAsia" w:ascii="Times New Roman" w:hAnsi="Times New Roman"/>
          <w:color w:val="auto"/>
          <w:highlight w:val="none"/>
        </w:rPr>
      </w:pPr>
      <w:r>
        <w:rPr>
          <w:rFonts w:hint="eastAsia" w:ascii="黑体" w:hAnsi="黑体" w:eastAsia="黑体" w:cs="黑体"/>
          <w:b/>
          <w:bCs/>
          <w:color w:val="auto"/>
          <w:highlight w:val="none"/>
        </w:rPr>
        <w:t>10.1.1</w:t>
      </w:r>
      <w:r>
        <w:rPr>
          <w:rFonts w:hint="eastAsia" w:ascii="黑体" w:hAnsi="黑体" w:eastAsia="黑体" w:cs="黑体"/>
          <w:b/>
          <w:bCs/>
          <w:color w:val="auto"/>
          <w:highlight w:val="none"/>
          <w:lang w:val="en-US" w:eastAsia="zh-CN"/>
        </w:rPr>
        <w:t>2</w:t>
      </w:r>
      <w:r>
        <w:rPr>
          <w:rFonts w:hint="eastAsia" w:ascii="黑体" w:hAnsi="黑体" w:eastAsia="黑体" w:cs="黑体"/>
          <w:b/>
          <w:bCs/>
          <w:color w:val="auto"/>
          <w:highlight w:val="none"/>
        </w:rPr>
        <w:t xml:space="preserve"> </w:t>
      </w:r>
      <w:r>
        <w:rPr>
          <w:rFonts w:hint="eastAsia" w:ascii="Times New Roman" w:hAnsi="Times New Roman"/>
          <w:color w:val="auto"/>
          <w:highlight w:val="none"/>
        </w:rPr>
        <w:t>小型综合管廊内通信线缆的运行维护及安全管理尚应符合现行行业标准《通信线路工程设计规范》YD 5102的有关规定。</w:t>
      </w:r>
    </w:p>
    <w:p w14:paraId="76682F58">
      <w:pPr>
        <w:rPr>
          <w:rFonts w:ascii="Times New Roman" w:hAnsi="Times New Roman"/>
          <w:color w:val="auto"/>
          <w:highlight w:val="none"/>
        </w:rPr>
      </w:pPr>
      <w:r>
        <w:rPr>
          <w:rFonts w:hint="eastAsia" w:ascii="黑体" w:hAnsi="黑体" w:eastAsia="黑体" w:cs="黑体"/>
          <w:b/>
          <w:bCs/>
          <w:color w:val="auto"/>
          <w:highlight w:val="none"/>
          <w:lang w:val="en-US" w:eastAsia="zh-CN"/>
        </w:rPr>
        <w:t xml:space="preserve">10.1.13 </w:t>
      </w:r>
      <w:r>
        <w:rPr>
          <w:rFonts w:hint="eastAsia" w:ascii="Times New Roman" w:hAnsi="Times New Roman"/>
          <w:color w:val="auto"/>
          <w:highlight w:val="none"/>
          <w:lang w:val="en-US" w:eastAsia="zh-CN"/>
        </w:rPr>
        <w:t>小型综合管廊宜利用网络技术的信息化建立动态安全管理机制，通过信息化手段构建智能化安全体系</w:t>
      </w:r>
      <w:r>
        <w:rPr>
          <w:rFonts w:hint="eastAsia" w:ascii="Times New Roman" w:hAnsi="Times New Roman"/>
          <w:color w:val="auto"/>
          <w:highlight w:val="none"/>
          <w:lang w:eastAsia="zh-CN"/>
        </w:rPr>
        <w:t>。</w:t>
      </w:r>
    </w:p>
    <w:p w14:paraId="6BA4429E">
      <w:pPr>
        <w:rPr>
          <w:rFonts w:hint="eastAsia" w:ascii="Times New Roman" w:hAnsi="Times New Roman"/>
          <w:color w:val="auto"/>
          <w:highlight w:val="none"/>
        </w:rPr>
      </w:pPr>
      <w:r>
        <w:rPr>
          <w:rFonts w:hint="eastAsia" w:ascii="黑体" w:hAnsi="黑体" w:eastAsia="黑体" w:cs="黑体"/>
          <w:b/>
          <w:bCs/>
          <w:color w:val="auto"/>
          <w:highlight w:val="none"/>
        </w:rPr>
        <w:t>10.1.1</w:t>
      </w:r>
      <w:r>
        <w:rPr>
          <w:rFonts w:hint="eastAsia" w:ascii="黑体" w:hAnsi="黑体" w:eastAsia="黑体" w:cs="黑体"/>
          <w:b/>
          <w:bCs/>
          <w:color w:val="auto"/>
          <w:highlight w:val="none"/>
          <w:lang w:val="en-US" w:eastAsia="zh-CN"/>
        </w:rPr>
        <w:t>4</w:t>
      </w:r>
      <w:r>
        <w:rPr>
          <w:rFonts w:hint="eastAsia" w:ascii="黑体" w:hAnsi="黑体" w:eastAsia="黑体" w:cs="黑体"/>
          <w:b/>
          <w:bCs/>
          <w:color w:val="auto"/>
          <w:highlight w:val="none"/>
        </w:rPr>
        <w:t xml:space="preserve"> </w:t>
      </w:r>
      <w:r>
        <w:rPr>
          <w:rFonts w:hint="eastAsia" w:ascii="Times New Roman" w:hAnsi="Times New Roman"/>
          <w:color w:val="auto"/>
          <w:highlight w:val="none"/>
        </w:rPr>
        <w:t>人员出入</w:t>
      </w:r>
      <w:r>
        <w:rPr>
          <w:rFonts w:hint="eastAsia" w:ascii="Times New Roman" w:hAnsi="Times New Roman"/>
          <w:color w:val="auto"/>
          <w:highlight w:val="none"/>
          <w:lang w:val="en-US" w:eastAsia="zh-CN"/>
        </w:rPr>
        <w:t>小型综合</w:t>
      </w:r>
      <w:r>
        <w:rPr>
          <w:rFonts w:hint="eastAsia" w:ascii="Times New Roman" w:hAnsi="Times New Roman"/>
          <w:color w:val="auto"/>
          <w:highlight w:val="none"/>
        </w:rPr>
        <w:t>管廊应符合下列规定：</w:t>
      </w:r>
    </w:p>
    <w:p w14:paraId="2CD183D6">
      <w:pPr>
        <w:spacing w:line="400" w:lineRule="atLeast"/>
        <w:ind w:firstLine="420" w:firstLineChars="200"/>
        <w:rPr>
          <w:rFonts w:hint="eastAsia" w:ascii="Times New Roman" w:hAnsi="Times New Roman"/>
          <w:color w:val="auto"/>
          <w:highlight w:val="none"/>
        </w:rPr>
      </w:pPr>
      <w:r>
        <w:rPr>
          <w:rFonts w:hint="eastAsia" w:ascii="Times New Roman" w:hAnsi="Times New Roman"/>
          <w:color w:val="auto"/>
          <w:highlight w:val="none"/>
        </w:rPr>
        <w:t>1未经允许不得进入；</w:t>
      </w:r>
    </w:p>
    <w:p w14:paraId="7DE3C4D1">
      <w:pPr>
        <w:spacing w:line="400" w:lineRule="atLeast"/>
        <w:ind w:firstLine="420" w:firstLineChars="200"/>
        <w:rPr>
          <w:rFonts w:hint="eastAsia" w:ascii="Times New Roman" w:hAnsi="Times New Roman"/>
          <w:color w:val="auto"/>
          <w:highlight w:val="none"/>
        </w:rPr>
      </w:pPr>
      <w:r>
        <w:rPr>
          <w:rFonts w:hint="eastAsia" w:ascii="Times New Roman" w:hAnsi="Times New Roman"/>
          <w:color w:val="auto"/>
          <w:highlight w:val="none"/>
          <w:lang w:val="en-US" w:eastAsia="zh-CN"/>
        </w:rPr>
        <w:t>2</w:t>
      </w:r>
      <w:r>
        <w:rPr>
          <w:rFonts w:hint="eastAsia" w:ascii="Times New Roman" w:hAnsi="Times New Roman"/>
          <w:color w:val="auto"/>
          <w:highlight w:val="none"/>
        </w:rPr>
        <w:t>应经过入廊安全培训；</w:t>
      </w:r>
    </w:p>
    <w:p w14:paraId="6CCBB6AF">
      <w:pPr>
        <w:spacing w:line="400" w:lineRule="atLeast"/>
        <w:ind w:firstLine="420" w:firstLineChars="200"/>
        <w:rPr>
          <w:rFonts w:hint="eastAsia" w:ascii="Times New Roman" w:hAnsi="Times New Roman"/>
          <w:color w:val="auto"/>
          <w:highlight w:val="none"/>
        </w:rPr>
      </w:pPr>
      <w:r>
        <w:rPr>
          <w:rFonts w:hint="eastAsia" w:ascii="Times New Roman" w:hAnsi="Times New Roman"/>
          <w:color w:val="auto"/>
          <w:highlight w:val="none"/>
          <w:lang w:val="en-US" w:eastAsia="zh-CN"/>
        </w:rPr>
        <w:t>3</w:t>
      </w:r>
      <w:r>
        <w:rPr>
          <w:rFonts w:hint="eastAsia" w:ascii="Times New Roman" w:hAnsi="Times New Roman"/>
          <w:color w:val="auto"/>
          <w:highlight w:val="none"/>
        </w:rPr>
        <w:t>应先检测，再通风，确认环境参数符合安全要求后方可进入</w:t>
      </w:r>
      <w:r>
        <w:rPr>
          <w:rFonts w:hint="eastAsia" w:ascii="Times New Roman" w:hAnsi="Times New Roman"/>
          <w:color w:val="auto"/>
          <w:highlight w:val="none"/>
          <w:lang w:eastAsia="zh-CN"/>
        </w:rPr>
        <w:t>，</w:t>
      </w:r>
      <w:r>
        <w:rPr>
          <w:rFonts w:hint="eastAsia" w:ascii="Times New Roman" w:hAnsi="Times New Roman"/>
          <w:color w:val="auto"/>
          <w:highlight w:val="none"/>
          <w:lang w:val="en-US" w:eastAsia="zh-CN"/>
        </w:rPr>
        <w:t>并应持续保持作业环境安全</w:t>
      </w:r>
      <w:r>
        <w:rPr>
          <w:rFonts w:hint="eastAsia" w:ascii="Times New Roman" w:hAnsi="Times New Roman"/>
          <w:color w:val="auto"/>
          <w:highlight w:val="none"/>
        </w:rPr>
        <w:t>；</w:t>
      </w:r>
    </w:p>
    <w:p w14:paraId="0EDC4F08">
      <w:pPr>
        <w:spacing w:line="400" w:lineRule="atLeast"/>
        <w:ind w:firstLine="420" w:firstLineChars="200"/>
        <w:rPr>
          <w:rFonts w:hint="eastAsia" w:ascii="Times New Roman" w:hAnsi="Times New Roman"/>
          <w:color w:val="auto"/>
          <w:highlight w:val="none"/>
          <w:lang w:eastAsia="zh-CN"/>
        </w:rPr>
      </w:pPr>
      <w:r>
        <w:rPr>
          <w:rFonts w:hint="eastAsia" w:ascii="Times New Roman" w:hAnsi="Times New Roman"/>
          <w:color w:val="auto"/>
          <w:highlight w:val="none"/>
          <w:lang w:val="en-US" w:eastAsia="zh-CN"/>
        </w:rPr>
        <w:t>4</w:t>
      </w:r>
      <w:r>
        <w:rPr>
          <w:rFonts w:hint="eastAsia" w:ascii="Times New Roman" w:hAnsi="Times New Roman"/>
          <w:color w:val="auto"/>
          <w:highlight w:val="none"/>
        </w:rPr>
        <w:t>作业时应配备专职监护人员进行监护，</w:t>
      </w:r>
      <w:r>
        <w:rPr>
          <w:rFonts w:hint="eastAsia" w:ascii="Times New Roman" w:hAnsi="Times New Roman"/>
          <w:color w:val="auto"/>
          <w:highlight w:val="none"/>
          <w:lang w:val="en-US" w:eastAsia="zh-CN"/>
        </w:rPr>
        <w:t>按规定设置警示标志，并应保持与监控中心的联络畅通，</w:t>
      </w:r>
      <w:r>
        <w:rPr>
          <w:rFonts w:hint="eastAsia" w:ascii="Times New Roman" w:hAnsi="Times New Roman"/>
          <w:color w:val="auto"/>
          <w:highlight w:val="none"/>
        </w:rPr>
        <w:t>现场配备应急救援工器具</w:t>
      </w:r>
      <w:r>
        <w:rPr>
          <w:rFonts w:hint="eastAsia" w:ascii="Times New Roman" w:hAnsi="Times New Roman"/>
          <w:color w:val="auto"/>
          <w:highlight w:val="none"/>
          <w:lang w:eastAsia="zh-CN"/>
        </w:rPr>
        <w:t>；</w:t>
      </w:r>
    </w:p>
    <w:p w14:paraId="02B3C457">
      <w:pPr>
        <w:spacing w:line="400" w:lineRule="atLeast"/>
        <w:ind w:firstLine="420" w:firstLineChars="200"/>
        <w:rPr>
          <w:rFonts w:hint="eastAsia" w:ascii="Times New Roman" w:hAnsi="Times New Roman"/>
          <w:color w:val="auto"/>
          <w:highlight w:val="none"/>
        </w:rPr>
      </w:pPr>
      <w:r>
        <w:rPr>
          <w:rFonts w:hint="eastAsia" w:ascii="Times New Roman" w:hAnsi="Times New Roman"/>
          <w:color w:val="auto"/>
          <w:highlight w:val="none"/>
          <w:lang w:val="en-US" w:eastAsia="zh-CN"/>
        </w:rPr>
        <w:t>5</w:t>
      </w:r>
      <w:r>
        <w:rPr>
          <w:rFonts w:hint="eastAsia" w:ascii="Times New Roman" w:hAnsi="Times New Roman"/>
          <w:color w:val="auto"/>
          <w:highlight w:val="none"/>
        </w:rPr>
        <w:t>入廊人员应配备必要的防护用具、检测仪器和应急装备；</w:t>
      </w:r>
    </w:p>
    <w:p w14:paraId="31378BC3">
      <w:pPr>
        <w:spacing w:line="400" w:lineRule="atLeast"/>
        <w:ind w:firstLine="420" w:firstLineChars="200"/>
        <w:rPr>
          <w:rFonts w:hint="eastAsia" w:ascii="Times New Roman" w:hAnsi="Times New Roman"/>
          <w:color w:val="auto"/>
          <w:highlight w:val="none"/>
        </w:rPr>
      </w:pPr>
      <w:r>
        <w:rPr>
          <w:rFonts w:hint="eastAsia" w:ascii="Times New Roman" w:hAnsi="Times New Roman"/>
          <w:color w:val="auto"/>
          <w:highlight w:val="none"/>
          <w:lang w:val="en-US" w:eastAsia="zh-CN"/>
        </w:rPr>
        <w:t>6</w:t>
      </w:r>
      <w:r>
        <w:rPr>
          <w:rFonts w:hint="eastAsia" w:ascii="Times New Roman" w:hAnsi="Times New Roman"/>
          <w:color w:val="auto"/>
          <w:highlight w:val="none"/>
        </w:rPr>
        <w:t>严禁在</w:t>
      </w:r>
      <w:r>
        <w:rPr>
          <w:rFonts w:hint="eastAsia" w:ascii="Times New Roman" w:hAnsi="Times New Roman"/>
          <w:color w:val="auto"/>
          <w:highlight w:val="none"/>
          <w:lang w:val="en-US" w:eastAsia="zh-CN"/>
        </w:rPr>
        <w:t>小型综合</w:t>
      </w:r>
      <w:r>
        <w:rPr>
          <w:rFonts w:hint="eastAsia" w:ascii="Times New Roman" w:hAnsi="Times New Roman"/>
          <w:color w:val="auto"/>
          <w:highlight w:val="none"/>
        </w:rPr>
        <w:t>管廊内吸烟。</w:t>
      </w:r>
    </w:p>
    <w:p w14:paraId="750ACE28">
      <w:pPr>
        <w:rPr>
          <w:rFonts w:hint="eastAsia" w:ascii="黑体" w:hAnsi="黑体" w:eastAsia="黑体" w:cs="黑体"/>
          <w:b/>
          <w:bCs/>
          <w:color w:val="auto"/>
          <w:highlight w:val="none"/>
          <w:lang w:val="en-US" w:eastAsia="zh-CN"/>
        </w:rPr>
      </w:pPr>
      <w:r>
        <w:rPr>
          <w:rFonts w:hint="eastAsia" w:ascii="黑体" w:hAnsi="黑体" w:eastAsia="黑体" w:cs="黑体"/>
          <w:b/>
          <w:bCs/>
          <w:color w:val="auto"/>
          <w:highlight w:val="none"/>
          <w:lang w:val="en-US" w:eastAsia="zh-CN"/>
        </w:rPr>
        <w:t xml:space="preserve">10.1.15 </w:t>
      </w:r>
      <w:r>
        <w:rPr>
          <w:rFonts w:hint="eastAsia" w:ascii="Times New Roman" w:hAnsi="Times New Roman"/>
          <w:color w:val="auto"/>
          <w:highlight w:val="none"/>
          <w:lang w:val="en-US" w:eastAsia="zh-CN"/>
        </w:rPr>
        <w:t>小型综合管廊投入运营后应定期安全评估，并及时处理安全隐患。</w:t>
      </w:r>
    </w:p>
    <w:p w14:paraId="7D71D9B8">
      <w:pPr>
        <w:pStyle w:val="34"/>
        <w:spacing w:before="156" w:beforeLines="50" w:after="156" w:afterLines="50" w:line="400" w:lineRule="exact"/>
        <w:outlineLvl w:val="2"/>
        <w:rPr>
          <w:rFonts w:hint="default" w:ascii="黑体" w:hAnsi="黑体" w:cs="黑体"/>
          <w:color w:val="auto"/>
          <w:sz w:val="21"/>
          <w:szCs w:val="21"/>
          <w:highlight w:val="none"/>
          <w:lang w:val="en-US" w:eastAsia="zh-CN"/>
        </w:rPr>
      </w:pPr>
      <w:bookmarkStart w:id="188" w:name="_Toc3780"/>
      <w:bookmarkStart w:id="189" w:name="_Toc3699"/>
      <w:bookmarkStart w:id="190" w:name="_Toc13542"/>
      <w:r>
        <w:rPr>
          <w:rFonts w:hint="eastAsia" w:ascii="黑体" w:hAnsi="黑体" w:cs="黑体"/>
          <w:color w:val="auto"/>
          <w:sz w:val="21"/>
          <w:szCs w:val="21"/>
          <w:highlight w:val="none"/>
          <w:lang w:val="en-US" w:eastAsia="zh-CN"/>
        </w:rPr>
        <w:t>10.2 巡检</w:t>
      </w:r>
      <w:bookmarkEnd w:id="188"/>
      <w:bookmarkEnd w:id="189"/>
      <w:bookmarkEnd w:id="190"/>
    </w:p>
    <w:p w14:paraId="482A029F">
      <w:pPr>
        <w:keepNext w:val="0"/>
        <w:keepLines w:val="0"/>
        <w:pageBreakBefore w:val="0"/>
        <w:widowControl w:val="0"/>
        <w:kinsoku/>
        <w:wordWrap/>
        <w:overflowPunct/>
        <w:topLinePunct w:val="0"/>
        <w:autoSpaceDE/>
        <w:autoSpaceDN/>
        <w:bidi w:val="0"/>
        <w:adjustRightInd w:val="0"/>
        <w:snapToGrid/>
        <w:spacing w:line="400" w:lineRule="atLeast"/>
        <w:textAlignment w:val="auto"/>
        <w:rPr>
          <w:rFonts w:hint="eastAsia" w:ascii="Times New Roman" w:hAnsi="Times New Roman" w:cs="Times New Roman"/>
          <w:b w:val="0"/>
          <w:bCs w:val="0"/>
          <w:color w:val="auto"/>
          <w:highlight w:val="none"/>
        </w:rPr>
      </w:pPr>
      <w:r>
        <w:rPr>
          <w:rFonts w:hint="eastAsia" w:ascii="黑体" w:hAnsi="黑体" w:eastAsia="黑体" w:cs="黑体"/>
          <w:b/>
          <w:bCs/>
          <w:color w:val="auto"/>
          <w:kern w:val="2"/>
          <w:szCs w:val="21"/>
          <w:highlight w:val="none"/>
          <w:lang w:eastAsia="zh-CN"/>
        </w:rPr>
        <w:t>1</w:t>
      </w:r>
      <w:r>
        <w:rPr>
          <w:rFonts w:hint="eastAsia" w:ascii="黑体" w:hAnsi="黑体" w:eastAsia="黑体" w:cs="黑体"/>
          <w:b/>
          <w:bCs/>
          <w:color w:val="auto"/>
          <w:kern w:val="2"/>
          <w:szCs w:val="21"/>
          <w:highlight w:val="none"/>
          <w:lang w:val="en-US" w:eastAsia="zh-CN"/>
        </w:rPr>
        <w:t>0</w:t>
      </w:r>
      <w:r>
        <w:rPr>
          <w:rFonts w:hint="eastAsia" w:ascii="黑体" w:hAnsi="黑体" w:eastAsia="黑体" w:cs="黑体"/>
          <w:b/>
          <w:bCs/>
          <w:color w:val="auto"/>
          <w:kern w:val="2"/>
          <w:szCs w:val="21"/>
          <w:highlight w:val="none"/>
        </w:rPr>
        <w:t>.2.1</w:t>
      </w:r>
      <w:r>
        <w:rPr>
          <w:rFonts w:hint="eastAsia" w:ascii="Times New Roman" w:hAnsi="Times New Roman" w:cs="Times New Roman"/>
          <w:b w:val="0"/>
          <w:bCs w:val="0"/>
          <w:color w:val="auto"/>
          <w:highlight w:val="none"/>
        </w:rPr>
        <w:t xml:space="preserve"> </w:t>
      </w:r>
      <w:r>
        <w:rPr>
          <w:rFonts w:hint="eastAsia" w:ascii="Times New Roman" w:hAnsi="Times New Roman" w:cs="Times New Roman"/>
          <w:b w:val="0"/>
          <w:bCs w:val="0"/>
          <w:color w:val="auto"/>
          <w:highlight w:val="none"/>
          <w:lang w:val="en-US" w:eastAsia="zh-CN"/>
        </w:rPr>
        <w:t>小型综合</w:t>
      </w:r>
      <w:r>
        <w:rPr>
          <w:rFonts w:hint="eastAsia" w:ascii="Times New Roman" w:hAnsi="Times New Roman"/>
          <w:color w:val="auto"/>
          <w:highlight w:val="none"/>
        </w:rPr>
        <w:t>管廊巡检应检查</w:t>
      </w:r>
      <w:r>
        <w:rPr>
          <w:rFonts w:hint="eastAsia" w:ascii="Times New Roman" w:hAnsi="Times New Roman"/>
          <w:color w:val="auto"/>
          <w:highlight w:val="none"/>
          <w:lang w:val="en-US" w:eastAsia="zh-CN"/>
        </w:rPr>
        <w:t>本体</w:t>
      </w:r>
      <w:r>
        <w:rPr>
          <w:rFonts w:hint="eastAsia" w:ascii="Times New Roman" w:hAnsi="Times New Roman"/>
          <w:color w:val="auto"/>
          <w:highlight w:val="none"/>
        </w:rPr>
        <w:t>外观状况、</w:t>
      </w:r>
      <w:r>
        <w:rPr>
          <w:rFonts w:hint="eastAsia" w:ascii="Times New Roman" w:hAnsi="Times New Roman"/>
          <w:color w:val="auto"/>
          <w:highlight w:val="none"/>
          <w:lang w:val="en-US" w:eastAsia="zh-CN"/>
        </w:rPr>
        <w:t>附属设施</w:t>
      </w:r>
      <w:r>
        <w:rPr>
          <w:rFonts w:hint="eastAsia" w:ascii="Times New Roman" w:hAnsi="Times New Roman"/>
          <w:color w:val="auto"/>
          <w:highlight w:val="none"/>
        </w:rPr>
        <w:t>功能是否完好、有效，</w:t>
      </w:r>
      <w:r>
        <w:rPr>
          <w:rFonts w:hint="eastAsia" w:ascii="Times New Roman" w:hAnsi="Times New Roman"/>
          <w:color w:val="auto"/>
          <w:highlight w:val="none"/>
          <w:lang w:val="en-US" w:eastAsia="zh-CN"/>
        </w:rPr>
        <w:t>并监控</w:t>
      </w:r>
      <w:r>
        <w:rPr>
          <w:rFonts w:hint="eastAsia" w:ascii="Times New Roman" w:hAnsi="Times New Roman"/>
          <w:color w:val="auto"/>
          <w:highlight w:val="none"/>
        </w:rPr>
        <w:t>管廊安全</w:t>
      </w:r>
      <w:r>
        <w:rPr>
          <w:rFonts w:hint="eastAsia" w:ascii="Times New Roman" w:hAnsi="Times New Roman"/>
          <w:color w:val="auto"/>
          <w:highlight w:val="none"/>
          <w:lang w:val="en-US" w:eastAsia="zh-CN"/>
        </w:rPr>
        <w:t>控制</w:t>
      </w:r>
      <w:r>
        <w:rPr>
          <w:rFonts w:hint="eastAsia" w:ascii="Times New Roman" w:hAnsi="Times New Roman"/>
          <w:color w:val="auto"/>
          <w:highlight w:val="none"/>
        </w:rPr>
        <w:t>范围内</w:t>
      </w:r>
      <w:r>
        <w:rPr>
          <w:rFonts w:hint="eastAsia" w:ascii="Times New Roman" w:hAnsi="Times New Roman"/>
          <w:color w:val="auto"/>
          <w:highlight w:val="none"/>
          <w:lang w:val="en-US" w:eastAsia="zh-CN"/>
        </w:rPr>
        <w:t>可能</w:t>
      </w:r>
      <w:r>
        <w:rPr>
          <w:rFonts w:hint="eastAsia" w:ascii="Times New Roman" w:hAnsi="Times New Roman"/>
          <w:color w:val="auto"/>
          <w:highlight w:val="none"/>
        </w:rPr>
        <w:t>对管廊本体造成安全隐患的行为</w:t>
      </w:r>
      <w:r>
        <w:rPr>
          <w:rFonts w:hint="eastAsia" w:ascii="Times New Roman" w:hAnsi="Times New Roman"/>
          <w:color w:val="auto"/>
          <w:highlight w:val="none"/>
          <w:lang w:eastAsia="zh-CN"/>
        </w:rPr>
        <w:t>；</w:t>
      </w:r>
      <w:r>
        <w:rPr>
          <w:rStyle w:val="13"/>
          <w:rFonts w:hint="eastAsia" w:ascii="Times New Roman" w:hAnsi="Times New Roman"/>
          <w:color w:val="auto"/>
          <w:szCs w:val="21"/>
          <w:highlight w:val="none"/>
        </w:rPr>
        <w:t>日常运行应对周边环境、施工作业等情况进行检查，及时发现和掌握环境的动态变化情况。</w:t>
      </w:r>
    </w:p>
    <w:p w14:paraId="575DCDC0">
      <w:pPr>
        <w:keepNext w:val="0"/>
        <w:keepLines w:val="0"/>
        <w:pageBreakBefore w:val="0"/>
        <w:widowControl w:val="0"/>
        <w:kinsoku/>
        <w:wordWrap/>
        <w:overflowPunct/>
        <w:topLinePunct w:val="0"/>
        <w:autoSpaceDE/>
        <w:autoSpaceDN/>
        <w:bidi w:val="0"/>
        <w:adjustRightInd w:val="0"/>
        <w:snapToGrid/>
        <w:spacing w:line="400" w:lineRule="atLeast"/>
        <w:textAlignment w:val="auto"/>
        <w:rPr>
          <w:rFonts w:hint="eastAsia" w:ascii="Times New Roman" w:hAnsi="Times New Roman"/>
          <w:b w:val="0"/>
          <w:bCs w:val="0"/>
          <w:color w:val="auto"/>
          <w:highlight w:val="none"/>
          <w:lang w:val="en-US" w:eastAsia="zh-CN"/>
        </w:rPr>
      </w:pPr>
      <w:r>
        <w:rPr>
          <w:rFonts w:hint="eastAsia" w:ascii="黑体" w:hAnsi="黑体" w:eastAsia="黑体" w:cs="黑体"/>
          <w:b/>
          <w:bCs/>
          <w:color w:val="auto"/>
          <w:kern w:val="2"/>
          <w:szCs w:val="21"/>
          <w:highlight w:val="none"/>
          <w:lang w:eastAsia="zh-CN"/>
        </w:rPr>
        <w:t>1</w:t>
      </w:r>
      <w:r>
        <w:rPr>
          <w:rFonts w:hint="eastAsia" w:ascii="黑体" w:hAnsi="黑体" w:eastAsia="黑体" w:cs="黑体"/>
          <w:b/>
          <w:bCs/>
          <w:color w:val="auto"/>
          <w:kern w:val="2"/>
          <w:szCs w:val="21"/>
          <w:highlight w:val="none"/>
          <w:lang w:val="en-US" w:eastAsia="zh-CN"/>
        </w:rPr>
        <w:t>0</w:t>
      </w:r>
      <w:r>
        <w:rPr>
          <w:rFonts w:hint="eastAsia" w:ascii="黑体" w:hAnsi="黑体" w:eastAsia="黑体" w:cs="黑体"/>
          <w:b/>
          <w:bCs/>
          <w:color w:val="auto"/>
          <w:kern w:val="2"/>
          <w:szCs w:val="21"/>
          <w:highlight w:val="none"/>
        </w:rPr>
        <w:t>.2.</w:t>
      </w:r>
      <w:r>
        <w:rPr>
          <w:rFonts w:hint="eastAsia" w:ascii="黑体" w:hAnsi="黑体" w:eastAsia="黑体" w:cs="黑体"/>
          <w:b/>
          <w:bCs/>
          <w:color w:val="auto"/>
          <w:kern w:val="2"/>
          <w:szCs w:val="21"/>
          <w:highlight w:val="none"/>
          <w:lang w:eastAsia="zh-CN"/>
        </w:rPr>
        <w:t>2</w:t>
      </w:r>
      <w:r>
        <w:rPr>
          <w:rFonts w:hint="eastAsia" w:ascii="Times New Roman" w:hAnsi="Times New Roman"/>
          <w:b w:val="0"/>
          <w:bCs w:val="0"/>
          <w:color w:val="auto"/>
          <w:kern w:val="2"/>
          <w:szCs w:val="21"/>
          <w:highlight w:val="none"/>
        </w:rPr>
        <w:t xml:space="preserve"> </w:t>
      </w:r>
      <w:r>
        <w:rPr>
          <w:rFonts w:hint="eastAsia" w:ascii="Times New Roman" w:hAnsi="Times New Roman"/>
          <w:b w:val="0"/>
          <w:bCs w:val="0"/>
          <w:color w:val="auto"/>
          <w:highlight w:val="none"/>
          <w:lang w:val="en-US" w:eastAsia="zh-CN"/>
        </w:rPr>
        <w:t>小型综合</w:t>
      </w:r>
      <w:r>
        <w:rPr>
          <w:rFonts w:hint="eastAsia" w:ascii="Times New Roman" w:hAnsi="Times New Roman"/>
          <w:color w:val="auto"/>
          <w:highlight w:val="none"/>
        </w:rPr>
        <w:t>管廊巡检应结合运行情况、外部环境等因素合理确定巡检方案，</w:t>
      </w:r>
      <w:r>
        <w:rPr>
          <w:rFonts w:hint="eastAsia" w:ascii="Times New Roman" w:hAnsi="Times New Roman"/>
          <w:color w:val="auto"/>
          <w:highlight w:val="none"/>
          <w:lang w:val="en-US" w:eastAsia="zh-CN"/>
        </w:rPr>
        <w:t>并应符合下列规定：</w:t>
      </w:r>
    </w:p>
    <w:p w14:paraId="014D897D">
      <w:pPr>
        <w:keepNext w:val="0"/>
        <w:keepLines w:val="0"/>
        <w:pageBreakBefore w:val="0"/>
        <w:widowControl w:val="0"/>
        <w:kinsoku/>
        <w:wordWrap/>
        <w:overflowPunct/>
        <w:topLinePunct w:val="0"/>
        <w:autoSpaceDE/>
        <w:autoSpaceDN/>
        <w:bidi w:val="0"/>
        <w:adjustRightInd w:val="0"/>
        <w:snapToGrid/>
        <w:spacing w:line="400" w:lineRule="atLeast"/>
        <w:ind w:firstLine="420" w:firstLineChars="200"/>
        <w:textAlignment w:val="auto"/>
        <w:rPr>
          <w:rFonts w:hint="eastAsia" w:ascii="Times New Roman" w:hAnsi="Times New Roman"/>
          <w:color w:val="auto"/>
          <w:highlight w:val="none"/>
          <w:lang w:eastAsia="zh-CN"/>
        </w:rPr>
      </w:pPr>
      <w:r>
        <w:rPr>
          <w:rFonts w:hint="eastAsia" w:ascii="Times New Roman" w:hAnsi="Times New Roman"/>
          <w:b w:val="0"/>
          <w:bCs w:val="0"/>
          <w:color w:val="auto"/>
          <w:highlight w:val="none"/>
          <w:lang w:val="en-US" w:eastAsia="zh-CN"/>
        </w:rPr>
        <w:t>1</w:t>
      </w:r>
      <w:r>
        <w:rPr>
          <w:rFonts w:hint="eastAsia" w:ascii="Times New Roman" w:hAnsi="Times New Roman"/>
          <w:color w:val="auto"/>
          <w:highlight w:val="none"/>
          <w:lang w:val="en-US" w:eastAsia="zh-CN"/>
        </w:rPr>
        <w:t xml:space="preserve">  小型</w:t>
      </w:r>
      <w:r>
        <w:rPr>
          <w:rFonts w:hint="eastAsia" w:ascii="Times New Roman" w:hAnsi="Times New Roman"/>
          <w:color w:val="auto"/>
          <w:highlight w:val="none"/>
        </w:rPr>
        <w:t>综合管廊外</w:t>
      </w:r>
      <w:r>
        <w:rPr>
          <w:rFonts w:hint="eastAsia" w:ascii="Times New Roman" w:hAnsi="Times New Roman"/>
          <w:color w:val="auto"/>
          <w:highlight w:val="none"/>
          <w:lang w:val="en-US" w:eastAsia="zh-CN"/>
        </w:rPr>
        <w:t>应定期巡检</w:t>
      </w:r>
      <w:r>
        <w:rPr>
          <w:rFonts w:hint="eastAsia" w:ascii="Times New Roman" w:hAnsi="Times New Roman"/>
          <w:color w:val="auto"/>
          <w:highlight w:val="none"/>
        </w:rPr>
        <w:t>每</w:t>
      </w:r>
      <w:r>
        <w:rPr>
          <w:rFonts w:hint="eastAsia" w:ascii="Times New Roman" w:hAnsi="Times New Roman"/>
          <w:color w:val="auto"/>
          <w:highlight w:val="none"/>
          <w:lang w:val="en-US" w:eastAsia="zh-CN"/>
        </w:rPr>
        <w:t>周</w:t>
      </w:r>
      <w:r>
        <w:rPr>
          <w:rFonts w:hint="eastAsia" w:ascii="Times New Roman" w:hAnsi="Times New Roman"/>
          <w:color w:val="auto"/>
          <w:highlight w:val="none"/>
        </w:rPr>
        <w:t>不宜少于1次</w:t>
      </w:r>
      <w:r>
        <w:rPr>
          <w:rFonts w:hint="eastAsia" w:ascii="Times New Roman" w:hAnsi="Times New Roman"/>
          <w:color w:val="auto"/>
          <w:highlight w:val="none"/>
          <w:lang w:eastAsia="zh-CN"/>
        </w:rPr>
        <w:t>；</w:t>
      </w:r>
    </w:p>
    <w:p w14:paraId="56374DF7">
      <w:pPr>
        <w:keepNext w:val="0"/>
        <w:keepLines w:val="0"/>
        <w:pageBreakBefore w:val="0"/>
        <w:widowControl w:val="0"/>
        <w:kinsoku/>
        <w:wordWrap/>
        <w:overflowPunct/>
        <w:topLinePunct w:val="0"/>
        <w:autoSpaceDE/>
        <w:autoSpaceDN/>
        <w:bidi w:val="0"/>
        <w:adjustRightInd w:val="0"/>
        <w:snapToGrid/>
        <w:spacing w:line="400" w:lineRule="atLeast"/>
        <w:ind w:firstLine="420" w:firstLineChars="200"/>
        <w:textAlignment w:val="auto"/>
        <w:rPr>
          <w:rFonts w:hint="eastAsia" w:ascii="Times New Roman" w:hAnsi="Times New Roman"/>
          <w:color w:val="auto"/>
          <w:highlight w:val="none"/>
        </w:rPr>
      </w:pPr>
      <w:r>
        <w:rPr>
          <w:rFonts w:hint="eastAsia" w:ascii="Times New Roman" w:hAnsi="Times New Roman"/>
          <w:color w:val="auto"/>
          <w:highlight w:val="none"/>
          <w:lang w:val="en-US" w:eastAsia="zh-CN"/>
        </w:rPr>
        <w:t>2  小型</w:t>
      </w:r>
      <w:r>
        <w:rPr>
          <w:rFonts w:hint="eastAsia" w:ascii="Times New Roman" w:hAnsi="Times New Roman"/>
          <w:color w:val="auto"/>
          <w:highlight w:val="none"/>
        </w:rPr>
        <w:t>综合管</w:t>
      </w:r>
      <w:r>
        <w:rPr>
          <w:rFonts w:hint="eastAsia" w:ascii="Times New Roman" w:hAnsi="Times New Roman"/>
          <w:color w:val="auto"/>
          <w:highlight w:val="none"/>
          <w:lang w:val="en-US" w:eastAsia="zh-CN"/>
        </w:rPr>
        <w:t>廊内视频</w:t>
      </w:r>
      <w:r>
        <w:rPr>
          <w:rFonts w:hint="eastAsia" w:ascii="Times New Roman" w:hAnsi="Times New Roman"/>
          <w:color w:val="auto"/>
          <w:highlight w:val="none"/>
        </w:rPr>
        <w:t>巡检频次每天不宜少于1次</w:t>
      </w:r>
      <w:r>
        <w:rPr>
          <w:rFonts w:hint="eastAsia" w:ascii="Times New Roman" w:hAnsi="Times New Roman"/>
          <w:color w:val="auto"/>
          <w:highlight w:val="none"/>
          <w:lang w:eastAsia="zh-CN"/>
        </w:rPr>
        <w:t>；</w:t>
      </w:r>
    </w:p>
    <w:p w14:paraId="295B1604">
      <w:pPr>
        <w:keepNext w:val="0"/>
        <w:keepLines w:val="0"/>
        <w:pageBreakBefore w:val="0"/>
        <w:widowControl w:val="0"/>
        <w:kinsoku/>
        <w:wordWrap/>
        <w:overflowPunct/>
        <w:topLinePunct w:val="0"/>
        <w:autoSpaceDE/>
        <w:autoSpaceDN/>
        <w:bidi w:val="0"/>
        <w:adjustRightInd w:val="0"/>
        <w:snapToGrid/>
        <w:spacing w:line="400" w:lineRule="atLeast"/>
        <w:ind w:firstLine="420" w:firstLineChars="200"/>
        <w:textAlignment w:val="auto"/>
        <w:rPr>
          <w:rFonts w:hint="eastAsia" w:ascii="Times New Roman" w:hAnsi="Times New Roman"/>
          <w:color w:val="auto"/>
          <w:highlight w:val="none"/>
          <w:lang w:eastAsia="zh-CN"/>
        </w:rPr>
      </w:pPr>
      <w:r>
        <w:rPr>
          <w:rFonts w:hint="eastAsia" w:ascii="Times New Roman" w:hAnsi="Times New Roman"/>
          <w:color w:val="auto"/>
          <w:highlight w:val="none"/>
          <w:lang w:val="en-US" w:eastAsia="zh-CN"/>
        </w:rPr>
        <w:t xml:space="preserve">3  </w:t>
      </w:r>
      <w:r>
        <w:rPr>
          <w:rFonts w:hint="eastAsia" w:ascii="Times New Roman" w:hAnsi="Times New Roman"/>
          <w:color w:val="auto"/>
          <w:highlight w:val="none"/>
        </w:rPr>
        <w:t>在极端异常气候、周边环境复杂、灾害预警等特殊情况下，应增加巡检频次</w:t>
      </w:r>
      <w:r>
        <w:rPr>
          <w:rFonts w:hint="eastAsia" w:ascii="Times New Roman" w:hAnsi="Times New Roman"/>
          <w:color w:val="auto"/>
          <w:highlight w:val="none"/>
          <w:lang w:eastAsia="zh-CN"/>
        </w:rPr>
        <w:t>。</w:t>
      </w:r>
    </w:p>
    <w:p w14:paraId="109653ED">
      <w:pPr>
        <w:rPr>
          <w:rFonts w:hint="default" w:ascii="Calibri" w:hAnsi="Calibri" w:cs="Times New Roman"/>
          <w:color w:val="auto"/>
          <w:highlight w:val="none"/>
        </w:rPr>
      </w:pPr>
      <w:r>
        <w:rPr>
          <w:rFonts w:hint="eastAsia" w:ascii="宋体" w:hAnsi="宋体" w:cs="黑体"/>
          <w:color w:val="auto"/>
          <w:highlight w:val="none"/>
        </w:rPr>
        <w:t>【</w:t>
      </w:r>
      <w:r>
        <w:rPr>
          <w:rFonts w:hint="eastAsia"/>
          <w:b/>
          <w:bCs/>
          <w:color w:val="auto"/>
          <w:highlight w:val="none"/>
        </w:rPr>
        <w:t>条文说明：</w:t>
      </w:r>
      <w:r>
        <w:rPr>
          <w:rFonts w:hint="eastAsia" w:ascii="Times New Roman" w:hAnsi="Times New Roman"/>
          <w:color w:val="auto"/>
          <w:highlight w:val="none"/>
          <w:lang w:val="en-US" w:eastAsia="zh-CN"/>
        </w:rPr>
        <w:t>小型</w:t>
      </w:r>
      <w:r>
        <w:rPr>
          <w:rFonts w:hint="eastAsia" w:ascii="Times New Roman" w:hAnsi="Times New Roman"/>
          <w:color w:val="auto"/>
          <w:highlight w:val="none"/>
        </w:rPr>
        <w:t>综合管廊外</w:t>
      </w:r>
      <w:r>
        <w:rPr>
          <w:rFonts w:hint="eastAsia" w:ascii="Times New Roman" w:hAnsi="Times New Roman"/>
          <w:color w:val="auto"/>
          <w:highlight w:val="none"/>
          <w:lang w:val="en-US" w:eastAsia="zh-CN"/>
        </w:rPr>
        <w:t>应定期巡检频次参照厦门市地标《城市地下综合管廊运行维护技术规范》DB3502/Z 5028-2017</w:t>
      </w:r>
      <w:r>
        <w:rPr>
          <w:rFonts w:hint="eastAsia" w:ascii="Times New Roman" w:hAnsi="Times New Roman"/>
          <w:color w:val="auto"/>
          <w:highlight w:val="none"/>
          <w:lang w:eastAsia="zh-CN"/>
        </w:rPr>
        <w:t>）</w:t>
      </w:r>
      <w:r>
        <w:rPr>
          <w:rFonts w:hint="eastAsia" w:ascii="宋体" w:hAnsi="宋体" w:cs="黑体"/>
          <w:color w:val="auto"/>
          <w:highlight w:val="none"/>
          <w:lang w:val="en-US" w:eastAsia="zh-CN"/>
        </w:rPr>
        <w:t>。</w:t>
      </w:r>
      <w:r>
        <w:rPr>
          <w:rFonts w:hint="eastAsia" w:ascii="宋体" w:hAnsi="宋体" w:cs="黑体"/>
          <w:color w:val="auto"/>
          <w:highlight w:val="none"/>
        </w:rPr>
        <w:t>】</w:t>
      </w:r>
    </w:p>
    <w:p w14:paraId="7C5BF42F">
      <w:pPr>
        <w:keepNext w:val="0"/>
        <w:keepLines w:val="0"/>
        <w:pageBreakBefore w:val="0"/>
        <w:widowControl w:val="0"/>
        <w:kinsoku/>
        <w:wordWrap/>
        <w:overflowPunct/>
        <w:topLinePunct w:val="0"/>
        <w:autoSpaceDE/>
        <w:autoSpaceDN/>
        <w:bidi w:val="0"/>
        <w:adjustRightInd w:val="0"/>
        <w:snapToGrid/>
        <w:spacing w:line="400" w:lineRule="atLeast"/>
        <w:jc w:val="left"/>
        <w:textAlignment w:val="auto"/>
        <w:rPr>
          <w:rFonts w:hint="default" w:ascii="Times New Roman" w:hAnsi="Times New Roman" w:eastAsia="黑体" w:cs="Times New Roman"/>
          <w:bCs/>
          <w:color w:val="auto"/>
          <w:sz w:val="18"/>
          <w:szCs w:val="18"/>
          <w:highlight w:val="none"/>
        </w:rPr>
      </w:pPr>
      <w:r>
        <w:rPr>
          <w:rFonts w:hint="eastAsia" w:ascii="黑体" w:hAnsi="黑体" w:eastAsia="黑体" w:cs="黑体"/>
          <w:b/>
          <w:bCs/>
          <w:color w:val="auto"/>
          <w:kern w:val="2"/>
          <w:szCs w:val="21"/>
          <w:highlight w:val="none"/>
          <w:lang w:eastAsia="zh-CN"/>
        </w:rPr>
        <w:t>1</w:t>
      </w:r>
      <w:r>
        <w:rPr>
          <w:rFonts w:hint="eastAsia" w:ascii="黑体" w:hAnsi="黑体" w:eastAsia="黑体" w:cs="黑体"/>
          <w:b/>
          <w:bCs/>
          <w:color w:val="auto"/>
          <w:kern w:val="2"/>
          <w:szCs w:val="21"/>
          <w:highlight w:val="none"/>
          <w:lang w:val="en-US" w:eastAsia="zh-CN"/>
        </w:rPr>
        <w:t>0</w:t>
      </w:r>
      <w:r>
        <w:rPr>
          <w:rFonts w:hint="eastAsia" w:ascii="黑体" w:hAnsi="黑体" w:eastAsia="黑体" w:cs="黑体"/>
          <w:b/>
          <w:bCs/>
          <w:color w:val="auto"/>
          <w:kern w:val="2"/>
          <w:szCs w:val="21"/>
          <w:highlight w:val="none"/>
        </w:rPr>
        <w:t>.2.</w:t>
      </w:r>
      <w:r>
        <w:rPr>
          <w:rFonts w:hint="eastAsia" w:ascii="黑体" w:hAnsi="黑体" w:eastAsia="黑体" w:cs="黑体"/>
          <w:b/>
          <w:bCs/>
          <w:color w:val="auto"/>
          <w:kern w:val="2"/>
          <w:szCs w:val="21"/>
          <w:highlight w:val="none"/>
          <w:lang w:eastAsia="zh-CN"/>
        </w:rPr>
        <w:t>3</w:t>
      </w:r>
      <w:r>
        <w:rPr>
          <w:rFonts w:hint="eastAsia" w:ascii="Times New Roman" w:hAnsi="Times New Roman"/>
          <w:b w:val="0"/>
          <w:bCs w:val="0"/>
          <w:color w:val="auto"/>
          <w:highlight w:val="none"/>
        </w:rPr>
        <w:t xml:space="preserve"> </w:t>
      </w:r>
      <w:r>
        <w:rPr>
          <w:rFonts w:hint="eastAsia" w:ascii="Times New Roman" w:hAnsi="Times New Roman"/>
          <w:color w:val="auto"/>
          <w:highlight w:val="none"/>
          <w:lang w:val="en-US" w:eastAsia="zh-CN"/>
        </w:rPr>
        <w:t>小型</w:t>
      </w:r>
      <w:r>
        <w:rPr>
          <w:rFonts w:hint="eastAsia" w:ascii="Times New Roman" w:hAnsi="Times New Roman"/>
          <w:color w:val="auto"/>
          <w:highlight w:val="none"/>
        </w:rPr>
        <w:t>综合管廊本体巡检内容应符合表</w:t>
      </w:r>
      <w:r>
        <w:rPr>
          <w:rFonts w:hint="eastAsia" w:ascii="Times New Roman" w:hAnsi="Times New Roman"/>
          <w:color w:val="auto"/>
          <w:highlight w:val="none"/>
          <w:lang w:val="en-US" w:eastAsia="zh-CN"/>
        </w:rPr>
        <w:t>10.2.3</w:t>
      </w:r>
      <w:r>
        <w:rPr>
          <w:rFonts w:hint="eastAsia" w:ascii="Times New Roman" w:hAnsi="Times New Roman"/>
          <w:color w:val="auto"/>
          <w:highlight w:val="none"/>
        </w:rPr>
        <w:t>的规定。</w:t>
      </w:r>
    </w:p>
    <w:p w14:paraId="3DB98877">
      <w:pPr>
        <w:jc w:val="center"/>
        <w:rPr>
          <w:rFonts w:hint="eastAsia" w:cs="Times New Roman" w:asciiTheme="minorEastAsia" w:hAnsiTheme="minorEastAsia" w:eastAsiaTheme="minorEastAsia"/>
          <w:bCs w:val="0"/>
          <w:color w:val="auto"/>
          <w:sz w:val="21"/>
          <w:szCs w:val="21"/>
          <w:highlight w:val="none"/>
        </w:rPr>
      </w:pPr>
      <w:r>
        <w:rPr>
          <w:rFonts w:hint="eastAsia" w:cs="Times New Roman" w:asciiTheme="minorEastAsia" w:hAnsiTheme="minorEastAsia" w:eastAsiaTheme="minorEastAsia"/>
          <w:bCs w:val="0"/>
          <w:color w:val="auto"/>
          <w:sz w:val="21"/>
          <w:szCs w:val="21"/>
          <w:highlight w:val="none"/>
        </w:rPr>
        <w:t>表</w:t>
      </w:r>
      <w:r>
        <w:rPr>
          <w:rFonts w:hint="eastAsia" w:cs="Times New Roman" w:asciiTheme="minorEastAsia" w:hAnsiTheme="minorEastAsia" w:eastAsiaTheme="minorEastAsia"/>
          <w:bCs w:val="0"/>
          <w:color w:val="auto"/>
          <w:sz w:val="21"/>
          <w:szCs w:val="21"/>
          <w:highlight w:val="none"/>
          <w:lang w:eastAsia="zh-CN"/>
        </w:rPr>
        <w:t>1</w:t>
      </w:r>
      <w:r>
        <w:rPr>
          <w:rFonts w:hint="eastAsia" w:cs="Times New Roman" w:asciiTheme="minorEastAsia" w:hAnsiTheme="minorEastAsia" w:eastAsiaTheme="minorEastAsia"/>
          <w:bCs w:val="0"/>
          <w:color w:val="auto"/>
          <w:sz w:val="21"/>
          <w:szCs w:val="21"/>
          <w:highlight w:val="none"/>
          <w:lang w:val="en-US" w:eastAsia="zh-CN"/>
        </w:rPr>
        <w:t>0</w:t>
      </w:r>
      <w:r>
        <w:rPr>
          <w:rFonts w:hint="eastAsia" w:cs="Times New Roman" w:asciiTheme="minorEastAsia" w:hAnsiTheme="minorEastAsia" w:eastAsiaTheme="minorEastAsia"/>
          <w:bCs w:val="0"/>
          <w:color w:val="auto"/>
          <w:sz w:val="21"/>
          <w:szCs w:val="21"/>
          <w:highlight w:val="none"/>
        </w:rPr>
        <w:t>.2.</w:t>
      </w:r>
      <w:r>
        <w:rPr>
          <w:rFonts w:hint="eastAsia" w:cs="Times New Roman" w:asciiTheme="minorEastAsia" w:hAnsiTheme="minorEastAsia" w:eastAsiaTheme="minorEastAsia"/>
          <w:bCs w:val="0"/>
          <w:color w:val="auto"/>
          <w:sz w:val="21"/>
          <w:szCs w:val="21"/>
          <w:highlight w:val="none"/>
          <w:lang w:eastAsia="zh-CN"/>
        </w:rPr>
        <w:t>3</w:t>
      </w:r>
      <w:r>
        <w:rPr>
          <w:rFonts w:hint="eastAsia" w:cs="Times New Roman" w:asciiTheme="minorEastAsia" w:hAnsiTheme="minorEastAsia" w:eastAsiaTheme="minorEastAsia"/>
          <w:bCs w:val="0"/>
          <w:color w:val="auto"/>
          <w:sz w:val="21"/>
          <w:szCs w:val="21"/>
          <w:highlight w:val="none"/>
          <w:lang w:val="en-US" w:eastAsia="zh-CN"/>
        </w:rPr>
        <w:t xml:space="preserve"> 小型综合</w:t>
      </w:r>
      <w:r>
        <w:rPr>
          <w:rFonts w:hint="eastAsia" w:cs="Times New Roman" w:asciiTheme="minorEastAsia" w:hAnsiTheme="minorEastAsia" w:eastAsiaTheme="minorEastAsia"/>
          <w:bCs w:val="0"/>
          <w:color w:val="auto"/>
          <w:sz w:val="21"/>
          <w:szCs w:val="21"/>
          <w:highlight w:val="none"/>
        </w:rPr>
        <w:t>管廊本体巡检项目及内容</w:t>
      </w:r>
    </w:p>
    <w:tbl>
      <w:tblPr>
        <w:tblStyle w:val="39"/>
        <w:tblW w:w="820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1"/>
        <w:gridCol w:w="2366"/>
        <w:gridCol w:w="4700"/>
      </w:tblGrid>
      <w:tr w14:paraId="5B88EB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1" w:hRule="atLeast"/>
          <w:jc w:val="center"/>
        </w:trPr>
        <w:tc>
          <w:tcPr>
            <w:tcW w:w="3507" w:type="dxa"/>
            <w:gridSpan w:val="2"/>
            <w:vAlign w:val="center"/>
          </w:tcPr>
          <w:p w14:paraId="6F877E12">
            <w:pPr>
              <w:spacing w:before="0" w:line="240" w:lineRule="auto"/>
              <w:ind w:left="0"/>
              <w:jc w:val="center"/>
              <w:rPr>
                <w:rFonts w:hint="eastAsia"/>
                <w:color w:val="auto"/>
                <w:sz w:val="21"/>
                <w:szCs w:val="21"/>
                <w:highlight w:val="none"/>
              </w:rPr>
            </w:pPr>
            <w:r>
              <w:rPr>
                <w:rFonts w:hint="eastAsia"/>
                <w:color w:val="auto"/>
                <w:spacing w:val="0"/>
                <w:sz w:val="21"/>
                <w:szCs w:val="21"/>
                <w:highlight w:val="none"/>
              </w:rPr>
              <w:t>项目</w:t>
            </w:r>
          </w:p>
        </w:tc>
        <w:tc>
          <w:tcPr>
            <w:tcW w:w="4700" w:type="dxa"/>
            <w:vAlign w:val="center"/>
          </w:tcPr>
          <w:p w14:paraId="5EE4BDFD">
            <w:pPr>
              <w:spacing w:before="0" w:line="240" w:lineRule="auto"/>
              <w:ind w:left="0"/>
              <w:jc w:val="center"/>
              <w:rPr>
                <w:rFonts w:hint="eastAsia"/>
                <w:color w:val="auto"/>
                <w:sz w:val="21"/>
                <w:szCs w:val="21"/>
                <w:highlight w:val="none"/>
              </w:rPr>
            </w:pPr>
            <w:r>
              <w:rPr>
                <w:rFonts w:hint="eastAsia"/>
                <w:color w:val="auto"/>
                <w:spacing w:val="0"/>
                <w:sz w:val="21"/>
                <w:szCs w:val="21"/>
                <w:highlight w:val="none"/>
              </w:rPr>
              <w:t>内容</w:t>
            </w:r>
          </w:p>
        </w:tc>
      </w:tr>
      <w:tr w14:paraId="325F70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41" w:type="dxa"/>
            <w:vMerge w:val="restart"/>
            <w:vAlign w:val="center"/>
          </w:tcPr>
          <w:p w14:paraId="459BD00A">
            <w:pPr>
              <w:spacing w:line="240" w:lineRule="auto"/>
              <w:jc w:val="center"/>
              <w:rPr>
                <w:rFonts w:hint="eastAsia"/>
                <w:color w:val="auto"/>
                <w:sz w:val="21"/>
                <w:szCs w:val="21"/>
                <w:highlight w:val="none"/>
                <w:lang w:val="en-US" w:eastAsia="zh-CN"/>
              </w:rPr>
            </w:pPr>
            <w:r>
              <w:rPr>
                <w:rFonts w:hint="eastAsia"/>
                <w:color w:val="auto"/>
                <w:sz w:val="21"/>
                <w:szCs w:val="21"/>
                <w:highlight w:val="none"/>
                <w:lang w:val="en-US" w:eastAsia="zh-CN"/>
              </w:rPr>
              <w:t>小型</w:t>
            </w:r>
          </w:p>
          <w:p w14:paraId="255BCC60">
            <w:pPr>
              <w:spacing w:before="0" w:line="240" w:lineRule="auto"/>
              <w:ind w:left="0"/>
              <w:jc w:val="center"/>
              <w:rPr>
                <w:rFonts w:hint="eastAsia"/>
                <w:color w:val="auto"/>
                <w:spacing w:val="0"/>
                <w:sz w:val="21"/>
                <w:szCs w:val="21"/>
                <w:highlight w:val="none"/>
              </w:rPr>
            </w:pPr>
            <w:r>
              <w:rPr>
                <w:rFonts w:hint="eastAsia"/>
                <w:color w:val="auto"/>
                <w:sz w:val="21"/>
                <w:szCs w:val="21"/>
                <w:highlight w:val="none"/>
                <w:lang w:val="en-US" w:eastAsia="zh-CN"/>
              </w:rPr>
              <w:t>综合管廊</w:t>
            </w:r>
          </w:p>
        </w:tc>
        <w:tc>
          <w:tcPr>
            <w:tcW w:w="2366" w:type="dxa"/>
            <w:vAlign w:val="center"/>
          </w:tcPr>
          <w:p w14:paraId="79EE297F">
            <w:pPr>
              <w:spacing w:before="0" w:line="240" w:lineRule="auto"/>
              <w:ind w:left="0"/>
              <w:jc w:val="center"/>
              <w:rPr>
                <w:rFonts w:hint="eastAsia"/>
                <w:color w:val="auto"/>
                <w:sz w:val="21"/>
                <w:szCs w:val="21"/>
                <w:highlight w:val="none"/>
              </w:rPr>
            </w:pPr>
            <w:r>
              <w:rPr>
                <w:rFonts w:hint="eastAsia"/>
                <w:color w:val="auto"/>
                <w:sz w:val="21"/>
                <w:szCs w:val="21"/>
                <w:highlight w:val="none"/>
              </w:rPr>
              <w:t>管线分支口</w:t>
            </w:r>
          </w:p>
        </w:tc>
        <w:tc>
          <w:tcPr>
            <w:tcW w:w="4700" w:type="dxa"/>
            <w:vAlign w:val="center"/>
          </w:tcPr>
          <w:p w14:paraId="696C93F9">
            <w:pPr>
              <w:spacing w:before="0" w:line="240" w:lineRule="auto"/>
              <w:ind w:left="0" w:firstLine="420" w:firstLineChars="200"/>
              <w:jc w:val="center"/>
              <w:rPr>
                <w:rFonts w:hint="eastAsia"/>
                <w:color w:val="auto"/>
                <w:sz w:val="21"/>
                <w:szCs w:val="21"/>
                <w:highlight w:val="none"/>
              </w:rPr>
            </w:pPr>
            <w:r>
              <w:rPr>
                <w:rFonts w:hint="eastAsia"/>
                <w:color w:val="auto"/>
                <w:sz w:val="21"/>
                <w:szCs w:val="21"/>
                <w:highlight w:val="none"/>
              </w:rPr>
              <w:t>填塞物脱落、渗漏水等情况</w:t>
            </w:r>
          </w:p>
        </w:tc>
      </w:tr>
      <w:tr w14:paraId="500AB7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41" w:type="dxa"/>
            <w:vMerge w:val="continue"/>
            <w:vAlign w:val="center"/>
          </w:tcPr>
          <w:p w14:paraId="0A74AF52">
            <w:pPr>
              <w:spacing w:before="0" w:line="240" w:lineRule="auto"/>
              <w:ind w:left="0"/>
              <w:jc w:val="center"/>
              <w:rPr>
                <w:rFonts w:hint="eastAsia"/>
                <w:color w:val="auto"/>
                <w:spacing w:val="0"/>
                <w:sz w:val="21"/>
                <w:szCs w:val="21"/>
                <w:highlight w:val="none"/>
              </w:rPr>
            </w:pPr>
          </w:p>
        </w:tc>
        <w:tc>
          <w:tcPr>
            <w:tcW w:w="2366" w:type="dxa"/>
            <w:vAlign w:val="center"/>
          </w:tcPr>
          <w:p w14:paraId="09EACB40">
            <w:pPr>
              <w:spacing w:before="0" w:line="240" w:lineRule="auto"/>
              <w:ind w:left="0"/>
              <w:jc w:val="center"/>
              <w:rPr>
                <w:rFonts w:hint="eastAsia"/>
                <w:color w:val="auto"/>
                <w:sz w:val="21"/>
                <w:szCs w:val="21"/>
                <w:highlight w:val="none"/>
              </w:rPr>
            </w:pPr>
            <w:r>
              <w:rPr>
                <w:rFonts w:hint="eastAsia"/>
                <w:color w:val="auto"/>
                <w:sz w:val="21"/>
                <w:szCs w:val="21"/>
                <w:highlight w:val="none"/>
              </w:rPr>
              <w:t>人员出入口</w:t>
            </w:r>
          </w:p>
        </w:tc>
        <w:tc>
          <w:tcPr>
            <w:tcW w:w="4700" w:type="dxa"/>
            <w:vAlign w:val="center"/>
          </w:tcPr>
          <w:p w14:paraId="46A77FD1">
            <w:pPr>
              <w:spacing w:before="0" w:line="240" w:lineRule="auto"/>
              <w:ind w:left="0" w:right="15" w:firstLine="420" w:firstLineChars="200"/>
              <w:jc w:val="center"/>
              <w:rPr>
                <w:rFonts w:hint="eastAsia"/>
                <w:color w:val="auto"/>
                <w:sz w:val="21"/>
                <w:szCs w:val="21"/>
                <w:highlight w:val="none"/>
              </w:rPr>
            </w:pPr>
            <w:r>
              <w:rPr>
                <w:rFonts w:hint="eastAsia"/>
                <w:color w:val="auto"/>
                <w:sz w:val="21"/>
                <w:szCs w:val="21"/>
                <w:highlight w:val="none"/>
              </w:rPr>
              <w:t>出入功能、启闭情况</w:t>
            </w:r>
          </w:p>
        </w:tc>
      </w:tr>
      <w:tr w14:paraId="589E42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41" w:type="dxa"/>
            <w:vMerge w:val="continue"/>
            <w:vAlign w:val="center"/>
          </w:tcPr>
          <w:p w14:paraId="262965C2">
            <w:pPr>
              <w:spacing w:before="0" w:line="240" w:lineRule="auto"/>
              <w:ind w:left="0"/>
              <w:jc w:val="center"/>
              <w:rPr>
                <w:rFonts w:hint="eastAsia"/>
                <w:color w:val="auto"/>
                <w:spacing w:val="0"/>
                <w:sz w:val="21"/>
                <w:szCs w:val="21"/>
                <w:highlight w:val="none"/>
              </w:rPr>
            </w:pPr>
          </w:p>
        </w:tc>
        <w:tc>
          <w:tcPr>
            <w:tcW w:w="2366" w:type="dxa"/>
            <w:vAlign w:val="center"/>
          </w:tcPr>
          <w:p w14:paraId="6A8976D4">
            <w:pPr>
              <w:spacing w:before="0" w:line="240" w:lineRule="auto"/>
              <w:ind w:left="0"/>
              <w:jc w:val="center"/>
              <w:rPr>
                <w:rFonts w:hint="eastAsia"/>
                <w:color w:val="auto"/>
                <w:sz w:val="21"/>
                <w:szCs w:val="21"/>
                <w:highlight w:val="none"/>
              </w:rPr>
            </w:pPr>
            <w:r>
              <w:rPr>
                <w:rFonts w:hint="eastAsia"/>
                <w:color w:val="auto"/>
                <w:sz w:val="21"/>
                <w:szCs w:val="21"/>
                <w:highlight w:val="none"/>
              </w:rPr>
              <w:t>井盖、盖板</w:t>
            </w:r>
          </w:p>
        </w:tc>
        <w:tc>
          <w:tcPr>
            <w:tcW w:w="4700" w:type="dxa"/>
            <w:vAlign w:val="center"/>
          </w:tcPr>
          <w:p w14:paraId="0F10238E">
            <w:pPr>
              <w:spacing w:before="0" w:line="240" w:lineRule="auto"/>
              <w:ind w:left="0" w:firstLine="420" w:firstLineChars="200"/>
              <w:jc w:val="center"/>
              <w:rPr>
                <w:rFonts w:hint="eastAsia"/>
                <w:color w:val="auto"/>
                <w:sz w:val="21"/>
                <w:szCs w:val="21"/>
                <w:highlight w:val="none"/>
              </w:rPr>
            </w:pPr>
            <w:r>
              <w:rPr>
                <w:rFonts w:hint="eastAsia"/>
                <w:color w:val="auto"/>
                <w:sz w:val="21"/>
                <w:szCs w:val="21"/>
                <w:highlight w:val="none"/>
              </w:rPr>
              <w:t>占压、破损、遗失等情况</w:t>
            </w:r>
          </w:p>
        </w:tc>
      </w:tr>
      <w:tr w14:paraId="715FB8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41" w:type="dxa"/>
            <w:vMerge w:val="continue"/>
            <w:vAlign w:val="center"/>
          </w:tcPr>
          <w:p w14:paraId="358CA372">
            <w:pPr>
              <w:spacing w:before="0" w:line="240" w:lineRule="auto"/>
              <w:ind w:left="0"/>
              <w:jc w:val="center"/>
              <w:rPr>
                <w:rFonts w:hint="eastAsia"/>
                <w:color w:val="auto"/>
                <w:spacing w:val="0"/>
                <w:sz w:val="21"/>
                <w:szCs w:val="21"/>
                <w:highlight w:val="none"/>
              </w:rPr>
            </w:pPr>
          </w:p>
        </w:tc>
        <w:tc>
          <w:tcPr>
            <w:tcW w:w="2366" w:type="dxa"/>
            <w:vAlign w:val="center"/>
          </w:tcPr>
          <w:p w14:paraId="54082920">
            <w:pPr>
              <w:spacing w:before="0" w:line="240" w:lineRule="auto"/>
              <w:ind w:left="0"/>
              <w:jc w:val="center"/>
              <w:rPr>
                <w:rFonts w:hint="eastAsia"/>
                <w:color w:val="auto"/>
                <w:sz w:val="21"/>
                <w:szCs w:val="21"/>
                <w:highlight w:val="none"/>
              </w:rPr>
            </w:pPr>
            <w:r>
              <w:rPr>
                <w:rFonts w:hint="eastAsia"/>
                <w:color w:val="auto"/>
                <w:sz w:val="21"/>
                <w:szCs w:val="21"/>
                <w:highlight w:val="none"/>
              </w:rPr>
              <w:t>井座</w:t>
            </w:r>
          </w:p>
        </w:tc>
        <w:tc>
          <w:tcPr>
            <w:tcW w:w="4700" w:type="dxa"/>
            <w:vAlign w:val="center"/>
          </w:tcPr>
          <w:p w14:paraId="7783C0B3">
            <w:pPr>
              <w:spacing w:before="0" w:line="240" w:lineRule="auto"/>
              <w:ind w:left="0" w:firstLine="420" w:firstLineChars="200"/>
              <w:jc w:val="center"/>
              <w:rPr>
                <w:rFonts w:hint="eastAsia"/>
                <w:color w:val="auto"/>
                <w:sz w:val="21"/>
                <w:szCs w:val="21"/>
                <w:highlight w:val="none"/>
              </w:rPr>
            </w:pPr>
            <w:r>
              <w:rPr>
                <w:rFonts w:hint="eastAsia"/>
                <w:color w:val="auto"/>
                <w:sz w:val="21"/>
                <w:szCs w:val="21"/>
                <w:highlight w:val="none"/>
              </w:rPr>
              <w:t>占压、破损、遗失等情况</w:t>
            </w:r>
          </w:p>
        </w:tc>
      </w:tr>
      <w:tr w14:paraId="6C61E1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41" w:type="dxa"/>
            <w:vMerge w:val="continue"/>
            <w:vAlign w:val="center"/>
          </w:tcPr>
          <w:p w14:paraId="448AADAA">
            <w:pPr>
              <w:spacing w:before="0" w:line="240" w:lineRule="auto"/>
              <w:ind w:left="0"/>
              <w:jc w:val="center"/>
              <w:rPr>
                <w:rFonts w:hint="eastAsia"/>
                <w:color w:val="auto"/>
                <w:spacing w:val="0"/>
                <w:sz w:val="21"/>
                <w:szCs w:val="21"/>
                <w:highlight w:val="none"/>
              </w:rPr>
            </w:pPr>
          </w:p>
        </w:tc>
        <w:tc>
          <w:tcPr>
            <w:tcW w:w="2366" w:type="dxa"/>
            <w:vAlign w:val="center"/>
          </w:tcPr>
          <w:p w14:paraId="51CBF3D0">
            <w:pPr>
              <w:spacing w:line="240" w:lineRule="auto"/>
              <w:jc w:val="center"/>
              <w:rPr>
                <w:color w:val="auto"/>
                <w:sz w:val="21"/>
                <w:szCs w:val="21"/>
                <w:highlight w:val="none"/>
              </w:rPr>
            </w:pPr>
            <w:r>
              <w:rPr>
                <w:rFonts w:hint="eastAsia"/>
                <w:color w:val="auto"/>
                <w:sz w:val="21"/>
                <w:szCs w:val="21"/>
                <w:highlight w:val="none"/>
              </w:rPr>
              <w:t>井内配件</w:t>
            </w:r>
          </w:p>
          <w:p w14:paraId="645E4CDC">
            <w:pPr>
              <w:spacing w:before="0" w:line="240" w:lineRule="auto"/>
              <w:ind w:left="0"/>
              <w:jc w:val="center"/>
              <w:rPr>
                <w:rFonts w:hint="eastAsia" w:eastAsia="宋体"/>
                <w:color w:val="auto"/>
                <w:sz w:val="21"/>
                <w:szCs w:val="21"/>
                <w:highlight w:val="none"/>
                <w:lang w:eastAsia="zh-CN"/>
              </w:rPr>
            </w:pPr>
            <w:r>
              <w:rPr>
                <w:rFonts w:hint="eastAsia"/>
                <w:color w:val="auto"/>
                <w:sz w:val="21"/>
                <w:szCs w:val="21"/>
                <w:highlight w:val="none"/>
              </w:rPr>
              <w:t>（防坠网、警示标识等</w:t>
            </w:r>
            <w:r>
              <w:rPr>
                <w:rFonts w:hint="eastAsia"/>
                <w:color w:val="auto"/>
                <w:sz w:val="21"/>
                <w:szCs w:val="21"/>
                <w:highlight w:val="none"/>
                <w:lang w:eastAsia="zh-CN"/>
              </w:rPr>
              <w:t>）</w:t>
            </w:r>
          </w:p>
        </w:tc>
        <w:tc>
          <w:tcPr>
            <w:tcW w:w="4700" w:type="dxa"/>
            <w:vAlign w:val="center"/>
          </w:tcPr>
          <w:p w14:paraId="3109874A">
            <w:pPr>
              <w:spacing w:before="0" w:line="240" w:lineRule="auto"/>
              <w:ind w:left="0" w:firstLine="420" w:firstLineChars="200"/>
              <w:jc w:val="center"/>
              <w:rPr>
                <w:rFonts w:hint="eastAsia"/>
                <w:color w:val="auto"/>
                <w:sz w:val="21"/>
                <w:szCs w:val="21"/>
                <w:highlight w:val="none"/>
              </w:rPr>
            </w:pPr>
            <w:r>
              <w:rPr>
                <w:rFonts w:hint="eastAsia"/>
                <w:color w:val="auto"/>
                <w:sz w:val="21"/>
                <w:szCs w:val="21"/>
                <w:highlight w:val="none"/>
              </w:rPr>
              <w:t>丢失、损坏、老化等情况</w:t>
            </w:r>
          </w:p>
        </w:tc>
      </w:tr>
      <w:tr w14:paraId="43276B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41" w:type="dxa"/>
            <w:vMerge w:val="continue"/>
            <w:vAlign w:val="center"/>
          </w:tcPr>
          <w:p w14:paraId="0F61FA9B">
            <w:pPr>
              <w:spacing w:before="0" w:line="240" w:lineRule="auto"/>
              <w:ind w:left="0"/>
              <w:jc w:val="center"/>
              <w:rPr>
                <w:rFonts w:hint="eastAsia"/>
                <w:color w:val="auto"/>
                <w:spacing w:val="0"/>
                <w:sz w:val="21"/>
                <w:szCs w:val="21"/>
                <w:highlight w:val="none"/>
              </w:rPr>
            </w:pPr>
          </w:p>
        </w:tc>
        <w:tc>
          <w:tcPr>
            <w:tcW w:w="2366" w:type="dxa"/>
            <w:vAlign w:val="center"/>
          </w:tcPr>
          <w:p w14:paraId="043C1CBD">
            <w:pPr>
              <w:spacing w:before="0" w:line="240" w:lineRule="auto"/>
              <w:ind w:left="0"/>
              <w:jc w:val="center"/>
              <w:rPr>
                <w:rFonts w:hint="eastAsia"/>
                <w:color w:val="auto"/>
                <w:sz w:val="21"/>
                <w:szCs w:val="21"/>
                <w:highlight w:val="none"/>
              </w:rPr>
            </w:pPr>
            <w:r>
              <w:rPr>
                <w:rFonts w:hint="eastAsia"/>
                <w:color w:val="auto"/>
                <w:sz w:val="21"/>
                <w:szCs w:val="21"/>
                <w:highlight w:val="none"/>
              </w:rPr>
              <w:t>集水坑</w:t>
            </w:r>
          </w:p>
        </w:tc>
        <w:tc>
          <w:tcPr>
            <w:tcW w:w="4700" w:type="dxa"/>
            <w:vAlign w:val="center"/>
          </w:tcPr>
          <w:p w14:paraId="74803108">
            <w:pPr>
              <w:spacing w:before="0" w:line="240" w:lineRule="auto"/>
              <w:ind w:left="0" w:firstLine="420" w:firstLineChars="200"/>
              <w:jc w:val="center"/>
              <w:rPr>
                <w:rFonts w:hint="eastAsia"/>
                <w:color w:val="auto"/>
                <w:sz w:val="21"/>
                <w:szCs w:val="21"/>
                <w:highlight w:val="none"/>
              </w:rPr>
            </w:pPr>
            <w:r>
              <w:rPr>
                <w:rFonts w:hint="eastAsia"/>
                <w:color w:val="auto"/>
                <w:sz w:val="21"/>
                <w:szCs w:val="21"/>
                <w:highlight w:val="none"/>
              </w:rPr>
              <w:t>堵塞、破损、淤积、渗漏等情况</w:t>
            </w:r>
          </w:p>
        </w:tc>
      </w:tr>
      <w:tr w14:paraId="318CF3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507" w:type="dxa"/>
            <w:gridSpan w:val="2"/>
            <w:vMerge w:val="restart"/>
            <w:vAlign w:val="center"/>
          </w:tcPr>
          <w:p w14:paraId="5BCD240E">
            <w:pPr>
              <w:spacing w:before="0" w:line="240" w:lineRule="auto"/>
              <w:ind w:left="0"/>
              <w:jc w:val="center"/>
              <w:rPr>
                <w:rFonts w:hint="eastAsia"/>
                <w:color w:val="auto"/>
                <w:sz w:val="21"/>
                <w:szCs w:val="21"/>
                <w:highlight w:val="none"/>
              </w:rPr>
            </w:pPr>
            <w:r>
              <w:rPr>
                <w:rFonts w:hint="eastAsia"/>
                <w:color w:val="auto"/>
                <w:sz w:val="21"/>
                <w:szCs w:val="21"/>
                <w:highlight w:val="none"/>
              </w:rPr>
              <w:t>安全保护范围</w:t>
            </w:r>
          </w:p>
        </w:tc>
        <w:tc>
          <w:tcPr>
            <w:tcW w:w="4700" w:type="dxa"/>
            <w:vAlign w:val="center"/>
          </w:tcPr>
          <w:p w14:paraId="721AC746">
            <w:pPr>
              <w:spacing w:before="0" w:line="240" w:lineRule="auto"/>
              <w:ind w:left="0" w:firstLine="420" w:firstLineChars="200"/>
              <w:jc w:val="center"/>
              <w:rPr>
                <w:rFonts w:hint="eastAsia"/>
                <w:color w:val="auto"/>
                <w:sz w:val="21"/>
                <w:szCs w:val="21"/>
                <w:highlight w:val="none"/>
              </w:rPr>
            </w:pPr>
            <w:r>
              <w:rPr>
                <w:rFonts w:hint="eastAsia"/>
                <w:color w:val="auto"/>
                <w:sz w:val="21"/>
                <w:szCs w:val="21"/>
                <w:highlight w:val="none"/>
              </w:rPr>
              <w:t>沿线道路和岩土体的崩塌、滑坡、开裂等迹象或情况</w:t>
            </w:r>
          </w:p>
        </w:tc>
      </w:tr>
      <w:tr w14:paraId="2C066D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507" w:type="dxa"/>
            <w:gridSpan w:val="2"/>
            <w:vMerge w:val="continue"/>
            <w:vAlign w:val="center"/>
          </w:tcPr>
          <w:p w14:paraId="032009BF">
            <w:pPr>
              <w:spacing w:before="0" w:line="240" w:lineRule="auto"/>
              <w:ind w:left="0"/>
              <w:jc w:val="center"/>
              <w:rPr>
                <w:rFonts w:hint="eastAsia"/>
                <w:color w:val="auto"/>
                <w:sz w:val="21"/>
                <w:szCs w:val="21"/>
                <w:highlight w:val="none"/>
              </w:rPr>
            </w:pPr>
          </w:p>
        </w:tc>
        <w:tc>
          <w:tcPr>
            <w:tcW w:w="4700" w:type="dxa"/>
            <w:vAlign w:val="center"/>
          </w:tcPr>
          <w:p w14:paraId="5B53DF67">
            <w:pPr>
              <w:spacing w:before="0" w:line="240" w:lineRule="auto"/>
              <w:ind w:left="0" w:firstLine="420" w:firstLineChars="200"/>
              <w:jc w:val="center"/>
              <w:rPr>
                <w:rFonts w:hint="eastAsia"/>
                <w:color w:val="auto"/>
                <w:sz w:val="21"/>
                <w:szCs w:val="21"/>
                <w:highlight w:val="none"/>
              </w:rPr>
            </w:pPr>
            <w:r>
              <w:rPr>
                <w:rFonts w:hint="eastAsia"/>
                <w:color w:val="auto"/>
                <w:sz w:val="21"/>
                <w:szCs w:val="21"/>
                <w:highlight w:val="none"/>
              </w:rPr>
              <w:t>违规从事禁止行为、限制行为的情况</w:t>
            </w:r>
          </w:p>
        </w:tc>
      </w:tr>
      <w:tr w14:paraId="18C716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507" w:type="dxa"/>
            <w:gridSpan w:val="2"/>
            <w:vMerge w:val="continue"/>
            <w:vAlign w:val="center"/>
          </w:tcPr>
          <w:p w14:paraId="4BA9FB4E">
            <w:pPr>
              <w:spacing w:before="0" w:line="240" w:lineRule="auto"/>
              <w:ind w:left="0"/>
              <w:jc w:val="center"/>
              <w:rPr>
                <w:rFonts w:hint="eastAsia"/>
                <w:color w:val="auto"/>
                <w:sz w:val="21"/>
                <w:szCs w:val="21"/>
                <w:highlight w:val="none"/>
              </w:rPr>
            </w:pPr>
          </w:p>
        </w:tc>
        <w:tc>
          <w:tcPr>
            <w:tcW w:w="4700" w:type="dxa"/>
            <w:vAlign w:val="center"/>
          </w:tcPr>
          <w:p w14:paraId="77E50137">
            <w:pPr>
              <w:spacing w:before="0" w:line="240" w:lineRule="auto"/>
              <w:ind w:left="0" w:firstLine="420" w:firstLineChars="200"/>
              <w:jc w:val="center"/>
              <w:rPr>
                <w:rFonts w:hint="eastAsia"/>
                <w:color w:val="auto"/>
                <w:sz w:val="21"/>
                <w:szCs w:val="21"/>
                <w:highlight w:val="none"/>
              </w:rPr>
            </w:pPr>
            <w:r>
              <w:rPr>
                <w:rFonts w:hint="eastAsia"/>
                <w:color w:val="auto"/>
                <w:sz w:val="21"/>
                <w:szCs w:val="21"/>
                <w:highlight w:val="none"/>
              </w:rPr>
              <w:t>从事限制行为时的安全保护控制措施落实情况</w:t>
            </w:r>
          </w:p>
        </w:tc>
      </w:tr>
    </w:tbl>
    <w:p w14:paraId="1636CD9B">
      <w:pPr>
        <w:keepNext w:val="0"/>
        <w:keepLines w:val="0"/>
        <w:pageBreakBefore w:val="0"/>
        <w:widowControl w:val="0"/>
        <w:kinsoku/>
        <w:wordWrap/>
        <w:overflowPunct/>
        <w:topLinePunct w:val="0"/>
        <w:autoSpaceDE/>
        <w:autoSpaceDN/>
        <w:bidi w:val="0"/>
        <w:adjustRightInd w:val="0"/>
        <w:snapToGrid/>
        <w:spacing w:line="400" w:lineRule="atLeast"/>
        <w:jc w:val="left"/>
        <w:textAlignment w:val="auto"/>
        <w:rPr>
          <w:rFonts w:hint="eastAsia" w:ascii="Times New Roman" w:hAnsi="Times New Roman" w:eastAsia="宋体" w:cs="Times New Roman"/>
          <w:b w:val="0"/>
          <w:bCs w:val="0"/>
          <w:color w:val="auto"/>
          <w:highlight w:val="none"/>
        </w:rPr>
      </w:pPr>
      <w:r>
        <w:rPr>
          <w:rFonts w:hint="eastAsia" w:ascii="黑体" w:hAnsi="黑体" w:eastAsia="黑体" w:cs="黑体"/>
          <w:b/>
          <w:bCs/>
          <w:color w:val="auto"/>
          <w:kern w:val="2"/>
          <w:szCs w:val="21"/>
          <w:highlight w:val="none"/>
          <w:lang w:eastAsia="zh-CN"/>
        </w:rPr>
        <w:t>1</w:t>
      </w:r>
      <w:r>
        <w:rPr>
          <w:rFonts w:hint="eastAsia" w:ascii="黑体" w:hAnsi="黑体" w:eastAsia="黑体" w:cs="黑体"/>
          <w:b/>
          <w:bCs/>
          <w:color w:val="auto"/>
          <w:kern w:val="2"/>
          <w:szCs w:val="21"/>
          <w:highlight w:val="none"/>
          <w:lang w:val="en-US" w:eastAsia="zh-CN"/>
        </w:rPr>
        <w:t>0</w:t>
      </w:r>
      <w:r>
        <w:rPr>
          <w:rFonts w:hint="eastAsia" w:ascii="黑体" w:hAnsi="黑体" w:eastAsia="黑体" w:cs="黑体"/>
          <w:b/>
          <w:bCs/>
          <w:color w:val="auto"/>
          <w:kern w:val="2"/>
          <w:szCs w:val="21"/>
          <w:highlight w:val="none"/>
        </w:rPr>
        <w:t>.2.</w:t>
      </w:r>
      <w:r>
        <w:rPr>
          <w:rFonts w:hint="eastAsia" w:ascii="黑体" w:hAnsi="黑体" w:eastAsia="黑体" w:cs="黑体"/>
          <w:b/>
          <w:bCs/>
          <w:color w:val="auto"/>
          <w:kern w:val="2"/>
          <w:szCs w:val="21"/>
          <w:highlight w:val="none"/>
          <w:lang w:eastAsia="zh-CN"/>
        </w:rPr>
        <w:t>4</w:t>
      </w:r>
      <w:r>
        <w:rPr>
          <w:rFonts w:hint="eastAsia" w:ascii="黑体" w:hAnsi="黑体" w:eastAsia="黑体" w:cs="黑体"/>
          <w:b/>
          <w:bCs/>
          <w:color w:val="auto"/>
          <w:highlight w:val="none"/>
        </w:rPr>
        <w:t xml:space="preserve"> </w:t>
      </w:r>
      <w:r>
        <w:rPr>
          <w:rFonts w:hint="eastAsia" w:ascii="Times New Roman" w:hAnsi="Times New Roman" w:eastAsia="宋体" w:cs="Times New Roman"/>
          <w:b w:val="0"/>
          <w:bCs w:val="0"/>
          <w:color w:val="auto"/>
          <w:highlight w:val="none"/>
          <w:lang w:val="en-US" w:eastAsia="zh-CN"/>
        </w:rPr>
        <w:t>小型综合</w:t>
      </w:r>
      <w:r>
        <w:rPr>
          <w:rFonts w:hint="eastAsia" w:ascii="Times New Roman" w:hAnsi="Times New Roman" w:eastAsia="宋体" w:cs="Times New Roman"/>
          <w:b w:val="0"/>
          <w:bCs w:val="0"/>
          <w:color w:val="auto"/>
          <w:highlight w:val="none"/>
        </w:rPr>
        <w:t>管廊本体巡检记录应包含巡检时间、巡检范围、巡检人员和巡检中发现的病害类型、病害程度、病害位置等内容。</w:t>
      </w:r>
    </w:p>
    <w:p w14:paraId="5D64A57B">
      <w:pPr>
        <w:keepNext w:val="0"/>
        <w:keepLines w:val="0"/>
        <w:pageBreakBefore w:val="0"/>
        <w:widowControl w:val="0"/>
        <w:kinsoku/>
        <w:wordWrap/>
        <w:overflowPunct/>
        <w:topLinePunct w:val="0"/>
        <w:autoSpaceDE/>
        <w:autoSpaceDN/>
        <w:bidi w:val="0"/>
        <w:adjustRightInd w:val="0"/>
        <w:snapToGrid/>
        <w:spacing w:line="400" w:lineRule="atLeast"/>
        <w:jc w:val="left"/>
        <w:textAlignment w:val="auto"/>
        <w:rPr>
          <w:rFonts w:hint="eastAsia" w:ascii="黑体" w:hAnsi="黑体" w:eastAsia="黑体" w:cs="黑体"/>
          <w:b w:val="0"/>
          <w:bCs w:val="0"/>
          <w:color w:val="auto"/>
          <w:sz w:val="21"/>
          <w:szCs w:val="21"/>
          <w:highlight w:val="none"/>
        </w:rPr>
      </w:pPr>
      <w:r>
        <w:rPr>
          <w:rFonts w:hint="eastAsia" w:ascii="黑体" w:hAnsi="黑体" w:eastAsia="黑体" w:cs="黑体"/>
          <w:b/>
          <w:bCs/>
          <w:color w:val="auto"/>
          <w:highlight w:val="none"/>
          <w:lang w:val="en-US" w:eastAsia="zh-CN"/>
        </w:rPr>
        <w:t xml:space="preserve">10.2.5 </w:t>
      </w:r>
      <w:r>
        <w:rPr>
          <w:rFonts w:hint="eastAsia" w:ascii="Times New Roman" w:hAnsi="Times New Roman" w:eastAsia="宋体" w:cs="Times New Roman"/>
          <w:b w:val="0"/>
          <w:bCs w:val="0"/>
          <w:color w:val="auto"/>
          <w:highlight w:val="none"/>
          <w:lang w:val="en-US" w:eastAsia="zh-CN"/>
        </w:rPr>
        <w:t>小型</w:t>
      </w:r>
      <w:r>
        <w:rPr>
          <w:rFonts w:hint="eastAsia" w:ascii="Times New Roman" w:hAnsi="Times New Roman" w:eastAsia="宋体" w:cs="Times New Roman"/>
          <w:b w:val="0"/>
          <w:bCs w:val="0"/>
          <w:color w:val="auto"/>
          <w:highlight w:val="none"/>
        </w:rPr>
        <w:t>综合管廊</w:t>
      </w:r>
      <w:r>
        <w:rPr>
          <w:rFonts w:hint="eastAsia" w:ascii="Times New Roman" w:hAnsi="Times New Roman" w:eastAsia="宋体" w:cs="Times New Roman"/>
          <w:b w:val="0"/>
          <w:bCs w:val="0"/>
          <w:color w:val="auto"/>
          <w:spacing w:val="0"/>
          <w:sz w:val="21"/>
          <w:szCs w:val="21"/>
          <w:highlight w:val="none"/>
          <w:lang w:eastAsia="zh-CN"/>
        </w:rPr>
        <w:t>供电系统的巡检项目和内容应符合表1</w:t>
      </w:r>
      <w:r>
        <w:rPr>
          <w:rFonts w:hint="eastAsia" w:ascii="Times New Roman" w:hAnsi="Times New Roman" w:eastAsia="宋体" w:cs="Times New Roman"/>
          <w:b w:val="0"/>
          <w:bCs w:val="0"/>
          <w:color w:val="auto"/>
          <w:spacing w:val="0"/>
          <w:sz w:val="21"/>
          <w:szCs w:val="21"/>
          <w:highlight w:val="none"/>
          <w:lang w:val="en-US" w:eastAsia="zh-CN"/>
        </w:rPr>
        <w:t>0.2.5</w:t>
      </w:r>
      <w:r>
        <w:rPr>
          <w:rFonts w:hint="eastAsia" w:ascii="Times New Roman" w:hAnsi="Times New Roman" w:eastAsia="宋体" w:cs="Times New Roman"/>
          <w:b w:val="0"/>
          <w:bCs w:val="0"/>
          <w:color w:val="auto"/>
          <w:spacing w:val="0"/>
          <w:sz w:val="21"/>
          <w:szCs w:val="21"/>
          <w:highlight w:val="none"/>
          <w:lang w:eastAsia="zh-CN"/>
        </w:rPr>
        <w:t>的规定，供电系统</w:t>
      </w:r>
      <w:r>
        <w:rPr>
          <w:rFonts w:hint="eastAsia" w:ascii="Times New Roman" w:hAnsi="Times New Roman" w:eastAsia="宋体" w:cs="Times New Roman"/>
          <w:b w:val="0"/>
          <w:bCs w:val="0"/>
          <w:color w:val="auto"/>
          <w:spacing w:val="0"/>
          <w:sz w:val="21"/>
          <w:szCs w:val="21"/>
          <w:highlight w:val="none"/>
          <w:lang w:val="en-US" w:eastAsia="zh-CN"/>
        </w:rPr>
        <w:t>巡检每季度不应少于1次</w:t>
      </w:r>
      <w:r>
        <w:rPr>
          <w:rFonts w:hint="eastAsia" w:ascii="Times New Roman" w:hAnsi="Times New Roman" w:eastAsia="宋体" w:cs="Times New Roman"/>
          <w:b w:val="0"/>
          <w:bCs w:val="0"/>
          <w:color w:val="auto"/>
          <w:spacing w:val="0"/>
          <w:sz w:val="21"/>
          <w:szCs w:val="21"/>
          <w:highlight w:val="none"/>
          <w:lang w:eastAsia="zh-CN"/>
        </w:rPr>
        <w:t>。</w:t>
      </w:r>
      <w:r>
        <w:rPr>
          <w:rFonts w:hint="eastAsia" w:ascii="Times New Roman" w:hAnsi="Times New Roman" w:eastAsia="宋体" w:cs="Times New Roman"/>
          <w:b w:val="0"/>
          <w:bCs w:val="0"/>
          <w:color w:val="auto"/>
          <w:sz w:val="21"/>
          <w:szCs w:val="21"/>
          <w:highlight w:val="none"/>
        </w:rPr>
        <w:t xml:space="preserve"> </w:t>
      </w:r>
    </w:p>
    <w:p w14:paraId="31BF444F">
      <w:pPr>
        <w:spacing w:before="86" w:line="303" w:lineRule="auto"/>
        <w:ind w:left="0" w:right="0"/>
        <w:jc w:val="center"/>
        <w:rPr>
          <w:rFonts w:hint="eastAsia" w:cs="Times New Roman" w:asciiTheme="minorEastAsia" w:hAnsiTheme="minorEastAsia" w:eastAsiaTheme="minorEastAsia"/>
          <w:color w:val="auto"/>
          <w:sz w:val="21"/>
          <w:szCs w:val="21"/>
          <w:highlight w:val="none"/>
        </w:rPr>
      </w:pPr>
      <w:bookmarkStart w:id="191" w:name="_Toc14406"/>
      <w:r>
        <w:rPr>
          <w:rFonts w:hint="eastAsia" w:cs="Times New Roman" w:asciiTheme="minorEastAsia" w:hAnsiTheme="minorEastAsia" w:eastAsiaTheme="minorEastAsia"/>
          <w:b w:val="0"/>
          <w:bCs w:val="0"/>
          <w:color w:val="auto"/>
          <w:spacing w:val="0"/>
          <w:sz w:val="21"/>
          <w:szCs w:val="21"/>
          <w:highlight w:val="none"/>
        </w:rPr>
        <w:t>表</w:t>
      </w:r>
      <w:r>
        <w:rPr>
          <w:rFonts w:hint="eastAsia" w:cs="Times New Roman" w:asciiTheme="minorEastAsia" w:hAnsiTheme="minorEastAsia" w:eastAsiaTheme="minorEastAsia"/>
          <w:b w:val="0"/>
          <w:bCs w:val="0"/>
          <w:color w:val="auto"/>
          <w:spacing w:val="0"/>
          <w:sz w:val="21"/>
          <w:szCs w:val="21"/>
          <w:highlight w:val="none"/>
          <w:lang w:eastAsia="zh-CN"/>
        </w:rPr>
        <w:t>1</w:t>
      </w:r>
      <w:r>
        <w:rPr>
          <w:rFonts w:hint="eastAsia" w:cs="Times New Roman" w:asciiTheme="minorEastAsia" w:hAnsiTheme="minorEastAsia" w:eastAsiaTheme="minorEastAsia"/>
          <w:b w:val="0"/>
          <w:bCs w:val="0"/>
          <w:color w:val="auto"/>
          <w:spacing w:val="0"/>
          <w:sz w:val="21"/>
          <w:szCs w:val="21"/>
          <w:highlight w:val="none"/>
          <w:lang w:val="en-US" w:eastAsia="zh-CN"/>
        </w:rPr>
        <w:t xml:space="preserve">0.2.5 </w:t>
      </w:r>
      <w:r>
        <w:rPr>
          <w:rFonts w:hint="eastAsia" w:cs="Times New Roman" w:asciiTheme="minorEastAsia" w:hAnsiTheme="minorEastAsia" w:eastAsiaTheme="minorEastAsia"/>
          <w:b w:val="0"/>
          <w:bCs w:val="0"/>
          <w:color w:val="auto"/>
          <w:spacing w:val="0"/>
          <w:sz w:val="21"/>
          <w:szCs w:val="21"/>
          <w:highlight w:val="none"/>
        </w:rPr>
        <w:t>供电系统巡检项目和内容</w:t>
      </w:r>
    </w:p>
    <w:p w14:paraId="2F1A36D6">
      <w:pPr>
        <w:spacing w:line="64" w:lineRule="exact"/>
        <w:rPr>
          <w:color w:val="auto"/>
          <w:highlight w:val="none"/>
        </w:rPr>
      </w:pPr>
    </w:p>
    <w:tbl>
      <w:tblPr>
        <w:tblStyle w:val="39"/>
        <w:tblW w:w="815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27"/>
        <w:gridCol w:w="6529"/>
      </w:tblGrid>
      <w:tr w14:paraId="42503E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1" w:hRule="atLeast"/>
          <w:jc w:val="center"/>
        </w:trPr>
        <w:tc>
          <w:tcPr>
            <w:tcW w:w="1627" w:type="dxa"/>
            <w:vAlign w:val="center"/>
          </w:tcPr>
          <w:p w14:paraId="02362728">
            <w:pPr>
              <w:spacing w:before="0" w:line="240" w:lineRule="auto"/>
              <w:ind w:left="0"/>
              <w:jc w:val="center"/>
              <w:rPr>
                <w:rFonts w:hint="eastAsia"/>
                <w:color w:val="auto"/>
                <w:sz w:val="21"/>
                <w:szCs w:val="21"/>
                <w:highlight w:val="none"/>
              </w:rPr>
            </w:pPr>
            <w:r>
              <w:rPr>
                <w:rFonts w:hint="eastAsia"/>
                <w:color w:val="auto"/>
                <w:spacing w:val="0"/>
                <w:sz w:val="21"/>
                <w:szCs w:val="21"/>
                <w:highlight w:val="none"/>
              </w:rPr>
              <w:t>项目</w:t>
            </w:r>
          </w:p>
        </w:tc>
        <w:tc>
          <w:tcPr>
            <w:tcW w:w="6529" w:type="dxa"/>
            <w:vAlign w:val="center"/>
          </w:tcPr>
          <w:p w14:paraId="442081F8">
            <w:pPr>
              <w:spacing w:before="0" w:line="240" w:lineRule="auto"/>
              <w:ind w:left="0"/>
              <w:jc w:val="center"/>
              <w:rPr>
                <w:rFonts w:hint="eastAsia"/>
                <w:color w:val="auto"/>
                <w:sz w:val="21"/>
                <w:szCs w:val="21"/>
                <w:highlight w:val="none"/>
              </w:rPr>
            </w:pPr>
            <w:r>
              <w:rPr>
                <w:rFonts w:hint="eastAsia"/>
                <w:color w:val="auto"/>
                <w:spacing w:val="0"/>
                <w:sz w:val="21"/>
                <w:szCs w:val="21"/>
                <w:highlight w:val="none"/>
              </w:rPr>
              <w:t>内容</w:t>
            </w:r>
          </w:p>
        </w:tc>
      </w:tr>
      <w:tr w14:paraId="34973B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4" w:hRule="atLeast"/>
          <w:jc w:val="center"/>
        </w:trPr>
        <w:tc>
          <w:tcPr>
            <w:tcW w:w="1627" w:type="dxa"/>
            <w:vAlign w:val="center"/>
          </w:tcPr>
          <w:p w14:paraId="6697FABA">
            <w:pPr>
              <w:spacing w:before="0" w:line="240" w:lineRule="auto"/>
              <w:ind w:left="0"/>
              <w:jc w:val="center"/>
              <w:rPr>
                <w:rFonts w:hint="eastAsia"/>
                <w:color w:val="auto"/>
                <w:sz w:val="21"/>
                <w:szCs w:val="21"/>
                <w:highlight w:val="none"/>
              </w:rPr>
            </w:pPr>
            <w:r>
              <w:rPr>
                <w:rFonts w:hint="eastAsia"/>
                <w:color w:val="auto"/>
                <w:spacing w:val="0"/>
                <w:sz w:val="21"/>
                <w:szCs w:val="21"/>
                <w:highlight w:val="none"/>
              </w:rPr>
              <w:t>变电站、配电站</w:t>
            </w:r>
          </w:p>
        </w:tc>
        <w:tc>
          <w:tcPr>
            <w:tcW w:w="6529" w:type="dxa"/>
            <w:vAlign w:val="center"/>
          </w:tcPr>
          <w:p w14:paraId="44EBA734">
            <w:pPr>
              <w:spacing w:before="0" w:line="240" w:lineRule="auto"/>
              <w:ind w:left="0" w:firstLine="420" w:firstLineChars="200"/>
              <w:jc w:val="both"/>
              <w:rPr>
                <w:rFonts w:hint="eastAsia"/>
                <w:color w:val="auto"/>
                <w:sz w:val="21"/>
                <w:szCs w:val="21"/>
                <w:highlight w:val="none"/>
              </w:rPr>
            </w:pPr>
            <w:r>
              <w:rPr>
                <w:rFonts w:hint="eastAsia"/>
                <w:color w:val="auto"/>
                <w:spacing w:val="0"/>
                <w:sz w:val="21"/>
                <w:szCs w:val="21"/>
                <w:highlight w:val="none"/>
              </w:rPr>
              <w:t>异响、异味、异物入侵，温度、湿度异常情况，清洁情况，</w:t>
            </w:r>
            <w:r>
              <w:rPr>
                <w:rFonts w:hint="eastAsia"/>
                <w:color w:val="auto"/>
                <w:sz w:val="21"/>
                <w:szCs w:val="21"/>
                <w:highlight w:val="none"/>
              </w:rPr>
              <w:t xml:space="preserve"> </w:t>
            </w:r>
            <w:r>
              <w:rPr>
                <w:rFonts w:hint="eastAsia"/>
                <w:color w:val="auto"/>
                <w:sz w:val="21"/>
                <w:szCs w:val="21"/>
                <w:highlight w:val="none"/>
                <w:lang w:val="en-US" w:eastAsia="zh-CN"/>
              </w:rPr>
              <w:t>接头</w:t>
            </w:r>
            <w:r>
              <w:rPr>
                <w:rFonts w:hint="eastAsia"/>
                <w:color w:val="auto"/>
                <w:spacing w:val="0"/>
                <w:sz w:val="21"/>
                <w:szCs w:val="21"/>
                <w:highlight w:val="none"/>
              </w:rPr>
              <w:t>固定情况，部件缺失破损、腐蚀情况，表计、信号装置故障情况</w:t>
            </w:r>
          </w:p>
        </w:tc>
      </w:tr>
      <w:tr w14:paraId="3DB79C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6" w:hRule="atLeast"/>
          <w:jc w:val="center"/>
        </w:trPr>
        <w:tc>
          <w:tcPr>
            <w:tcW w:w="1627" w:type="dxa"/>
            <w:vAlign w:val="center"/>
          </w:tcPr>
          <w:p w14:paraId="0150FA2D">
            <w:pPr>
              <w:spacing w:before="0" w:line="240" w:lineRule="auto"/>
              <w:ind w:left="0"/>
              <w:jc w:val="center"/>
              <w:rPr>
                <w:rFonts w:hint="eastAsia"/>
                <w:color w:val="auto"/>
                <w:sz w:val="21"/>
                <w:szCs w:val="21"/>
                <w:highlight w:val="none"/>
              </w:rPr>
            </w:pPr>
            <w:r>
              <w:rPr>
                <w:rFonts w:hint="eastAsia"/>
                <w:color w:val="auto"/>
                <w:spacing w:val="0"/>
                <w:sz w:val="21"/>
                <w:szCs w:val="21"/>
                <w:highlight w:val="none"/>
              </w:rPr>
              <w:t>电力电缆线路</w:t>
            </w:r>
          </w:p>
        </w:tc>
        <w:tc>
          <w:tcPr>
            <w:tcW w:w="6529" w:type="dxa"/>
            <w:vAlign w:val="center"/>
          </w:tcPr>
          <w:p w14:paraId="5E385142">
            <w:pPr>
              <w:spacing w:before="0" w:line="240" w:lineRule="auto"/>
              <w:ind w:left="0" w:right="15" w:firstLine="420" w:firstLineChars="200"/>
              <w:jc w:val="both"/>
              <w:rPr>
                <w:rFonts w:hint="eastAsia"/>
                <w:color w:val="auto"/>
                <w:sz w:val="21"/>
                <w:szCs w:val="21"/>
                <w:highlight w:val="none"/>
              </w:rPr>
            </w:pPr>
            <w:r>
              <w:rPr>
                <w:rFonts w:hint="eastAsia"/>
                <w:color w:val="auto"/>
                <w:sz w:val="21"/>
                <w:szCs w:val="21"/>
                <w:highlight w:val="none"/>
              </w:rPr>
              <w:t>电缆运行环境，地表情况，电缆接头、电缆首末端的标识</w:t>
            </w:r>
            <w:r>
              <w:rPr>
                <w:rFonts w:hint="eastAsia"/>
                <w:color w:val="auto"/>
                <w:spacing w:val="0"/>
                <w:sz w:val="21"/>
                <w:szCs w:val="21"/>
                <w:highlight w:val="none"/>
              </w:rPr>
              <w:t xml:space="preserve"> 缺损情况，支桥架牢固与锈蚀情况，电流指示</w:t>
            </w:r>
          </w:p>
        </w:tc>
      </w:tr>
      <w:tr w14:paraId="0DA565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3" w:hRule="atLeast"/>
          <w:jc w:val="center"/>
        </w:trPr>
        <w:tc>
          <w:tcPr>
            <w:tcW w:w="1627" w:type="dxa"/>
            <w:vAlign w:val="center"/>
          </w:tcPr>
          <w:p w14:paraId="3BDD16BA">
            <w:pPr>
              <w:spacing w:before="0" w:line="240" w:lineRule="auto"/>
              <w:ind w:left="0"/>
              <w:jc w:val="center"/>
              <w:rPr>
                <w:rFonts w:hint="eastAsia"/>
                <w:color w:val="auto"/>
                <w:sz w:val="21"/>
                <w:szCs w:val="21"/>
                <w:highlight w:val="none"/>
              </w:rPr>
            </w:pPr>
            <w:r>
              <w:rPr>
                <w:rFonts w:hint="eastAsia"/>
                <w:color w:val="auto"/>
                <w:spacing w:val="0"/>
                <w:sz w:val="21"/>
                <w:szCs w:val="21"/>
                <w:highlight w:val="none"/>
              </w:rPr>
              <w:t>防雷与接地系统</w:t>
            </w:r>
          </w:p>
        </w:tc>
        <w:tc>
          <w:tcPr>
            <w:tcW w:w="6529" w:type="dxa"/>
            <w:vAlign w:val="center"/>
          </w:tcPr>
          <w:p w14:paraId="324F61B6">
            <w:pPr>
              <w:spacing w:before="0" w:line="240" w:lineRule="auto"/>
              <w:ind w:left="0" w:firstLine="420" w:firstLineChars="200"/>
              <w:jc w:val="both"/>
              <w:rPr>
                <w:rFonts w:hint="eastAsia"/>
                <w:color w:val="auto"/>
                <w:sz w:val="21"/>
                <w:szCs w:val="21"/>
                <w:highlight w:val="none"/>
              </w:rPr>
            </w:pPr>
            <w:r>
              <w:rPr>
                <w:rFonts w:hint="eastAsia"/>
                <w:color w:val="auto"/>
                <w:spacing w:val="0"/>
                <w:sz w:val="21"/>
                <w:szCs w:val="21"/>
                <w:highlight w:val="none"/>
              </w:rPr>
              <w:t>接地导体有无损伤、腐蚀，以及其与设备连接的可靠性； 浪涌保护器失效情况等</w:t>
            </w:r>
          </w:p>
        </w:tc>
      </w:tr>
    </w:tbl>
    <w:p w14:paraId="4AFFA2C4">
      <w:pPr>
        <w:spacing w:before="233" w:line="240" w:lineRule="auto"/>
        <w:ind w:left="102"/>
        <w:jc w:val="left"/>
        <w:rPr>
          <w:rFonts w:hint="eastAsia" w:ascii="Times New Roman" w:hAnsi="Times New Roman"/>
          <w:color w:val="auto"/>
          <w:sz w:val="21"/>
          <w:szCs w:val="21"/>
          <w:highlight w:val="none"/>
        </w:rPr>
      </w:pPr>
      <w:r>
        <w:rPr>
          <w:rFonts w:hint="eastAsia" w:ascii="黑体" w:hAnsi="黑体" w:eastAsia="黑体" w:cs="黑体"/>
          <w:b/>
          <w:bCs/>
          <w:color w:val="auto"/>
          <w:spacing w:val="0"/>
          <w:sz w:val="21"/>
          <w:szCs w:val="21"/>
          <w:highlight w:val="none"/>
          <w:lang w:eastAsia="zh-CN"/>
        </w:rPr>
        <w:t>1</w:t>
      </w:r>
      <w:r>
        <w:rPr>
          <w:rFonts w:hint="eastAsia" w:ascii="黑体" w:hAnsi="黑体" w:eastAsia="黑体" w:cs="黑体"/>
          <w:b/>
          <w:bCs/>
          <w:color w:val="auto"/>
          <w:spacing w:val="0"/>
          <w:sz w:val="21"/>
          <w:szCs w:val="21"/>
          <w:highlight w:val="none"/>
          <w:lang w:val="en-US" w:eastAsia="zh-CN"/>
        </w:rPr>
        <w:t>0.2.6</w:t>
      </w:r>
      <w:r>
        <w:rPr>
          <w:color w:val="auto"/>
          <w:spacing w:val="5"/>
          <w:sz w:val="20"/>
          <w:szCs w:val="20"/>
          <w:highlight w:val="none"/>
        </w:rPr>
        <w:t xml:space="preserve"> </w:t>
      </w:r>
      <w:r>
        <w:rPr>
          <w:rFonts w:hint="eastAsia" w:ascii="Times New Roman" w:hAnsi="Times New Roman"/>
          <w:color w:val="auto"/>
          <w:highlight w:val="none"/>
          <w:lang w:val="en-US" w:eastAsia="zh-CN"/>
        </w:rPr>
        <w:t>小型</w:t>
      </w:r>
      <w:r>
        <w:rPr>
          <w:rFonts w:hint="eastAsia" w:ascii="Times New Roman" w:hAnsi="Times New Roman"/>
          <w:color w:val="auto"/>
          <w:highlight w:val="none"/>
        </w:rPr>
        <w:t>综合管廊</w:t>
      </w:r>
      <w:r>
        <w:rPr>
          <w:rFonts w:hint="eastAsia" w:ascii="Times New Roman" w:hAnsi="Times New Roman"/>
          <w:color w:val="auto"/>
          <w:spacing w:val="0"/>
          <w:sz w:val="21"/>
          <w:szCs w:val="21"/>
          <w:highlight w:val="none"/>
        </w:rPr>
        <w:t>监控与报警系统的巡检应符合下列规定：</w:t>
      </w:r>
    </w:p>
    <w:p w14:paraId="4CE70188">
      <w:pPr>
        <w:keepNext w:val="0"/>
        <w:keepLines w:val="0"/>
        <w:pageBreakBefore w:val="0"/>
        <w:widowControl w:val="0"/>
        <w:kinsoku/>
        <w:wordWrap/>
        <w:overflowPunct/>
        <w:topLinePunct w:val="0"/>
        <w:autoSpaceDE/>
        <w:autoSpaceDN/>
        <w:bidi w:val="0"/>
        <w:adjustRightInd w:val="0"/>
        <w:snapToGrid/>
        <w:spacing w:before="83" w:line="240" w:lineRule="auto"/>
        <w:ind w:left="0" w:firstLine="420" w:firstLineChars="200"/>
        <w:jc w:val="left"/>
        <w:textAlignment w:val="auto"/>
        <w:rPr>
          <w:rFonts w:hint="eastAsia" w:ascii="Times New Roman" w:hAnsi="Times New Roman"/>
          <w:color w:val="auto"/>
          <w:sz w:val="21"/>
          <w:szCs w:val="21"/>
          <w:highlight w:val="none"/>
        </w:rPr>
      </w:pPr>
      <w:r>
        <w:rPr>
          <w:rFonts w:hint="eastAsia" w:ascii="Times New Roman" w:hAnsi="Times New Roman"/>
          <w:b w:val="0"/>
          <w:bCs w:val="0"/>
          <w:color w:val="auto"/>
          <w:spacing w:val="0"/>
          <w:sz w:val="21"/>
          <w:szCs w:val="21"/>
          <w:highlight w:val="none"/>
        </w:rPr>
        <w:t>1</w:t>
      </w:r>
      <w:r>
        <w:rPr>
          <w:rFonts w:hint="eastAsia" w:ascii="Times New Roman" w:hAnsi="Times New Roman"/>
          <w:color w:val="auto"/>
          <w:spacing w:val="0"/>
          <w:sz w:val="21"/>
          <w:szCs w:val="21"/>
          <w:highlight w:val="none"/>
        </w:rPr>
        <w:t xml:space="preserve"> 应检查传感设备、执行设备、控制设备、显示设备、传输线路及设备等的外观、连接状态、供电状况及相应功能等；</w:t>
      </w:r>
    </w:p>
    <w:p w14:paraId="1AE7497C">
      <w:pPr>
        <w:keepNext w:val="0"/>
        <w:keepLines w:val="0"/>
        <w:pageBreakBefore w:val="0"/>
        <w:widowControl w:val="0"/>
        <w:kinsoku/>
        <w:wordWrap/>
        <w:overflowPunct/>
        <w:topLinePunct w:val="0"/>
        <w:autoSpaceDE/>
        <w:autoSpaceDN/>
        <w:bidi w:val="0"/>
        <w:adjustRightInd w:val="0"/>
        <w:snapToGrid/>
        <w:spacing w:before="83" w:line="240" w:lineRule="auto"/>
        <w:ind w:left="0" w:right="0" w:firstLine="420" w:firstLineChars="200"/>
        <w:jc w:val="left"/>
        <w:textAlignment w:val="auto"/>
        <w:rPr>
          <w:rFonts w:hint="eastAsia" w:ascii="Times New Roman" w:hAnsi="Times New Roman"/>
          <w:color w:val="auto"/>
          <w:sz w:val="21"/>
          <w:szCs w:val="21"/>
          <w:highlight w:val="none"/>
        </w:rPr>
      </w:pPr>
      <w:r>
        <w:rPr>
          <w:rFonts w:hint="eastAsia" w:ascii="Times New Roman" w:hAnsi="Times New Roman"/>
          <w:b w:val="0"/>
          <w:bCs w:val="0"/>
          <w:color w:val="auto"/>
          <w:spacing w:val="0"/>
          <w:sz w:val="21"/>
          <w:szCs w:val="21"/>
          <w:highlight w:val="none"/>
          <w:lang w:eastAsia="zh-CN"/>
        </w:rPr>
        <w:t>2</w:t>
      </w:r>
      <w:r>
        <w:rPr>
          <w:rFonts w:hint="eastAsia" w:ascii="Times New Roman" w:hAnsi="Times New Roman"/>
          <w:color w:val="auto"/>
          <w:spacing w:val="0"/>
          <w:sz w:val="21"/>
          <w:szCs w:val="21"/>
          <w:highlight w:val="none"/>
        </w:rPr>
        <w:t xml:space="preserve"> 巡检工作应定期进行，传感设备、控制设备、执行设备检查每</w:t>
      </w:r>
      <w:r>
        <w:rPr>
          <w:rFonts w:hint="eastAsia" w:ascii="Times New Roman" w:hAnsi="Times New Roman"/>
          <w:color w:val="auto"/>
          <w:spacing w:val="0"/>
          <w:sz w:val="21"/>
          <w:szCs w:val="21"/>
          <w:highlight w:val="none"/>
          <w:lang w:val="en-US" w:eastAsia="zh-CN"/>
        </w:rPr>
        <w:t>季度</w:t>
      </w:r>
      <w:r>
        <w:rPr>
          <w:rFonts w:hint="eastAsia" w:ascii="Times New Roman" w:hAnsi="Times New Roman"/>
          <w:color w:val="auto"/>
          <w:spacing w:val="0"/>
          <w:sz w:val="21"/>
          <w:szCs w:val="21"/>
          <w:highlight w:val="none"/>
        </w:rPr>
        <w:t>不应少于1次；</w:t>
      </w:r>
    </w:p>
    <w:p w14:paraId="5FBDFECD">
      <w:pPr>
        <w:keepNext w:val="0"/>
        <w:keepLines w:val="0"/>
        <w:pageBreakBefore w:val="0"/>
        <w:widowControl w:val="0"/>
        <w:kinsoku/>
        <w:wordWrap/>
        <w:overflowPunct/>
        <w:topLinePunct w:val="0"/>
        <w:autoSpaceDE/>
        <w:autoSpaceDN/>
        <w:bidi w:val="0"/>
        <w:adjustRightInd w:val="0"/>
        <w:snapToGrid/>
        <w:spacing w:before="83" w:line="240" w:lineRule="auto"/>
        <w:ind w:left="0" w:firstLine="420" w:firstLineChars="200"/>
        <w:jc w:val="left"/>
        <w:textAlignment w:val="auto"/>
        <w:rPr>
          <w:rFonts w:hint="eastAsia" w:ascii="Times New Roman" w:hAnsi="Times New Roman" w:eastAsia="宋体" w:cs="Times New Roman"/>
          <w:b w:val="0"/>
          <w:bCs w:val="0"/>
          <w:color w:val="auto"/>
          <w:spacing w:val="0"/>
          <w:sz w:val="21"/>
          <w:szCs w:val="21"/>
          <w:highlight w:val="none"/>
        </w:rPr>
      </w:pPr>
      <w:r>
        <w:rPr>
          <w:rFonts w:hint="eastAsia" w:ascii="Times New Roman" w:hAnsi="Times New Roman" w:cs="Times New Roman"/>
          <w:b w:val="0"/>
          <w:bCs w:val="0"/>
          <w:color w:val="auto"/>
          <w:spacing w:val="0"/>
          <w:sz w:val="21"/>
          <w:szCs w:val="21"/>
          <w:highlight w:val="none"/>
          <w:lang w:eastAsia="zh-CN"/>
        </w:rPr>
        <w:t>3</w:t>
      </w:r>
      <w:r>
        <w:rPr>
          <w:rFonts w:hint="eastAsia" w:ascii="Times New Roman" w:hAnsi="Times New Roman" w:eastAsia="宋体" w:cs="Times New Roman"/>
          <w:b w:val="0"/>
          <w:bCs w:val="0"/>
          <w:color w:val="auto"/>
          <w:spacing w:val="0"/>
          <w:sz w:val="21"/>
          <w:szCs w:val="21"/>
          <w:highlight w:val="none"/>
        </w:rPr>
        <w:t xml:space="preserve"> </w:t>
      </w:r>
      <w:r>
        <w:rPr>
          <w:rFonts w:hint="eastAsia" w:ascii="Times New Roman" w:hAnsi="Times New Roman"/>
          <w:color w:val="auto"/>
          <w:spacing w:val="0"/>
          <w:sz w:val="21"/>
          <w:szCs w:val="21"/>
          <w:highlight w:val="none"/>
        </w:rPr>
        <w:t>巡检内容应符合本标准</w:t>
      </w:r>
      <w:r>
        <w:rPr>
          <w:rFonts w:hint="eastAsia" w:ascii="Times New Roman" w:hAnsi="Times New Roman"/>
          <w:color w:val="auto"/>
          <w:spacing w:val="0"/>
          <w:sz w:val="21"/>
          <w:szCs w:val="21"/>
          <w:highlight w:val="none"/>
          <w:lang w:val="en-US" w:eastAsia="zh-CN"/>
        </w:rPr>
        <w:t>表10.2.6</w:t>
      </w:r>
      <w:r>
        <w:rPr>
          <w:rFonts w:hint="eastAsia" w:ascii="Times New Roman" w:hAnsi="Times New Roman"/>
          <w:color w:val="auto"/>
          <w:spacing w:val="0"/>
          <w:sz w:val="21"/>
          <w:szCs w:val="21"/>
          <w:highlight w:val="none"/>
        </w:rPr>
        <w:t>的规定。</w:t>
      </w:r>
    </w:p>
    <w:p w14:paraId="0AE93DF7">
      <w:pPr>
        <w:spacing w:before="72" w:line="400" w:lineRule="exact"/>
        <w:ind w:left="0" w:firstLine="0" w:firstLineChars="0"/>
        <w:jc w:val="center"/>
        <w:rPr>
          <w:rFonts w:hint="eastAsia" w:ascii="Times New Roman" w:hAnsi="Times New Roman"/>
          <w:color w:val="auto"/>
          <w:spacing w:val="0"/>
          <w:sz w:val="21"/>
          <w:szCs w:val="21"/>
          <w:highlight w:val="none"/>
        </w:rPr>
      </w:pPr>
      <w:r>
        <w:rPr>
          <w:rFonts w:hint="eastAsia" w:cs="Times New Roman" w:asciiTheme="minorEastAsia" w:hAnsiTheme="minorEastAsia" w:eastAsiaTheme="minorEastAsia"/>
          <w:b w:val="0"/>
          <w:bCs w:val="0"/>
          <w:color w:val="auto"/>
          <w:spacing w:val="0"/>
          <w:sz w:val="21"/>
          <w:szCs w:val="21"/>
          <w:highlight w:val="none"/>
        </w:rPr>
        <w:t>表</w:t>
      </w:r>
      <w:r>
        <w:rPr>
          <w:rFonts w:hint="eastAsia" w:cs="Times New Roman" w:asciiTheme="minorEastAsia" w:hAnsiTheme="minorEastAsia" w:eastAsiaTheme="minorEastAsia"/>
          <w:b w:val="0"/>
          <w:bCs w:val="0"/>
          <w:color w:val="auto"/>
          <w:spacing w:val="0"/>
          <w:sz w:val="21"/>
          <w:szCs w:val="21"/>
          <w:highlight w:val="none"/>
          <w:lang w:eastAsia="zh-CN"/>
        </w:rPr>
        <w:t>1</w:t>
      </w:r>
      <w:r>
        <w:rPr>
          <w:rFonts w:hint="eastAsia" w:cs="Times New Roman" w:asciiTheme="minorEastAsia" w:hAnsiTheme="minorEastAsia" w:eastAsiaTheme="minorEastAsia"/>
          <w:b w:val="0"/>
          <w:bCs w:val="0"/>
          <w:color w:val="auto"/>
          <w:spacing w:val="0"/>
          <w:sz w:val="21"/>
          <w:szCs w:val="21"/>
          <w:highlight w:val="none"/>
          <w:lang w:val="en-US" w:eastAsia="zh-CN"/>
        </w:rPr>
        <w:t xml:space="preserve">0.2.6 </w:t>
      </w:r>
      <w:r>
        <w:rPr>
          <w:rFonts w:hint="eastAsia" w:ascii="Times New Roman" w:hAnsi="Times New Roman"/>
          <w:color w:val="auto"/>
          <w:spacing w:val="0"/>
          <w:sz w:val="21"/>
          <w:szCs w:val="21"/>
          <w:highlight w:val="none"/>
        </w:rPr>
        <w:t>监控与报警系统</w:t>
      </w:r>
      <w:r>
        <w:rPr>
          <w:rFonts w:hint="eastAsia" w:cs="Times New Roman" w:asciiTheme="minorEastAsia" w:hAnsiTheme="minorEastAsia" w:eastAsiaTheme="minorEastAsia"/>
          <w:b w:val="0"/>
          <w:bCs w:val="0"/>
          <w:color w:val="auto"/>
          <w:spacing w:val="0"/>
          <w:sz w:val="21"/>
          <w:szCs w:val="21"/>
          <w:highlight w:val="none"/>
        </w:rPr>
        <w:t>巡检项目和内容</w:t>
      </w:r>
    </w:p>
    <w:tbl>
      <w:tblPr>
        <w:tblStyle w:val="39"/>
        <w:tblW w:w="73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76"/>
        <w:gridCol w:w="1852"/>
        <w:gridCol w:w="4577"/>
      </w:tblGrid>
      <w:tr w14:paraId="03ACEF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jc w:val="center"/>
        </w:trPr>
        <w:tc>
          <w:tcPr>
            <w:tcW w:w="876" w:type="dxa"/>
            <w:vAlign w:val="top"/>
          </w:tcPr>
          <w:p w14:paraId="56F7D2F5">
            <w:pPr>
              <w:pStyle w:val="38"/>
              <w:spacing w:before="81" w:line="219" w:lineRule="auto"/>
              <w:ind w:left="195"/>
              <w:rPr>
                <w:color w:val="auto"/>
                <w:sz w:val="21"/>
                <w:szCs w:val="21"/>
                <w:highlight w:val="none"/>
              </w:rPr>
            </w:pPr>
            <w:r>
              <w:rPr>
                <w:color w:val="auto"/>
                <w:spacing w:val="-2"/>
                <w:sz w:val="21"/>
                <w:szCs w:val="21"/>
                <w:highlight w:val="none"/>
              </w:rPr>
              <w:t>类别</w:t>
            </w:r>
          </w:p>
        </w:tc>
        <w:tc>
          <w:tcPr>
            <w:tcW w:w="1852" w:type="dxa"/>
            <w:vAlign w:val="top"/>
          </w:tcPr>
          <w:p w14:paraId="0CA1D224">
            <w:pPr>
              <w:pStyle w:val="38"/>
              <w:spacing w:before="82" w:line="220" w:lineRule="auto"/>
              <w:ind w:left="0"/>
              <w:jc w:val="center"/>
              <w:rPr>
                <w:color w:val="auto"/>
                <w:sz w:val="21"/>
                <w:szCs w:val="21"/>
                <w:highlight w:val="none"/>
              </w:rPr>
            </w:pPr>
            <w:r>
              <w:rPr>
                <w:color w:val="auto"/>
                <w:spacing w:val="-5"/>
                <w:sz w:val="21"/>
                <w:szCs w:val="21"/>
                <w:highlight w:val="none"/>
              </w:rPr>
              <w:t>项目</w:t>
            </w:r>
          </w:p>
        </w:tc>
        <w:tc>
          <w:tcPr>
            <w:tcW w:w="4577" w:type="dxa"/>
            <w:vAlign w:val="top"/>
          </w:tcPr>
          <w:p w14:paraId="305DE26F">
            <w:pPr>
              <w:pStyle w:val="38"/>
              <w:spacing w:before="81" w:line="219" w:lineRule="auto"/>
              <w:ind w:left="0"/>
              <w:jc w:val="center"/>
              <w:rPr>
                <w:color w:val="auto"/>
                <w:sz w:val="21"/>
                <w:szCs w:val="21"/>
                <w:highlight w:val="none"/>
              </w:rPr>
            </w:pPr>
            <w:r>
              <w:rPr>
                <w:color w:val="auto"/>
                <w:spacing w:val="4"/>
                <w:sz w:val="21"/>
                <w:szCs w:val="21"/>
                <w:highlight w:val="none"/>
              </w:rPr>
              <w:t>内容</w:t>
            </w:r>
          </w:p>
        </w:tc>
      </w:tr>
      <w:tr w14:paraId="3AA418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jc w:val="center"/>
        </w:trPr>
        <w:tc>
          <w:tcPr>
            <w:tcW w:w="876" w:type="dxa"/>
            <w:vMerge w:val="restart"/>
            <w:tcBorders>
              <w:bottom w:val="nil"/>
            </w:tcBorders>
            <w:vAlign w:val="center"/>
          </w:tcPr>
          <w:p w14:paraId="7CDB4684">
            <w:pPr>
              <w:pStyle w:val="38"/>
              <w:spacing w:before="52" w:line="265" w:lineRule="auto"/>
              <w:ind w:left="0" w:right="48" w:firstLine="0"/>
              <w:jc w:val="center"/>
              <w:rPr>
                <w:color w:val="auto"/>
                <w:spacing w:val="-3"/>
                <w:sz w:val="21"/>
                <w:szCs w:val="21"/>
                <w:highlight w:val="none"/>
              </w:rPr>
            </w:pPr>
            <w:r>
              <w:rPr>
                <w:color w:val="auto"/>
                <w:spacing w:val="-3"/>
                <w:sz w:val="21"/>
                <w:szCs w:val="21"/>
                <w:highlight w:val="none"/>
              </w:rPr>
              <w:t>安全防范</w:t>
            </w:r>
          </w:p>
          <w:p w14:paraId="7EDF5100">
            <w:pPr>
              <w:pStyle w:val="38"/>
              <w:spacing w:before="52" w:line="265" w:lineRule="auto"/>
              <w:ind w:left="194" w:right="48" w:hanging="159"/>
              <w:jc w:val="center"/>
              <w:rPr>
                <w:color w:val="auto"/>
                <w:sz w:val="21"/>
                <w:szCs w:val="21"/>
                <w:highlight w:val="none"/>
              </w:rPr>
            </w:pPr>
            <w:r>
              <w:rPr>
                <w:color w:val="auto"/>
                <w:spacing w:val="-3"/>
                <w:sz w:val="21"/>
                <w:szCs w:val="21"/>
                <w:highlight w:val="none"/>
              </w:rPr>
              <w:t>系统</w:t>
            </w:r>
          </w:p>
        </w:tc>
        <w:tc>
          <w:tcPr>
            <w:tcW w:w="1852" w:type="dxa"/>
            <w:vAlign w:val="center"/>
          </w:tcPr>
          <w:p w14:paraId="388ECEA5">
            <w:pPr>
              <w:spacing w:before="225" w:line="240" w:lineRule="auto"/>
              <w:ind w:left="231"/>
              <w:jc w:val="center"/>
              <w:rPr>
                <w:rFonts w:hint="eastAsia"/>
                <w:color w:val="auto"/>
                <w:sz w:val="21"/>
                <w:szCs w:val="21"/>
                <w:highlight w:val="none"/>
              </w:rPr>
            </w:pPr>
            <w:r>
              <w:rPr>
                <w:rFonts w:hint="eastAsia"/>
                <w:color w:val="auto"/>
                <w:spacing w:val="0"/>
                <w:sz w:val="21"/>
                <w:szCs w:val="21"/>
                <w:highlight w:val="none"/>
              </w:rPr>
              <w:t>摄像机</w:t>
            </w:r>
          </w:p>
        </w:tc>
        <w:tc>
          <w:tcPr>
            <w:tcW w:w="4577" w:type="dxa"/>
            <w:vAlign w:val="center"/>
          </w:tcPr>
          <w:p w14:paraId="71429840">
            <w:pPr>
              <w:spacing w:before="116" w:line="240" w:lineRule="auto"/>
              <w:ind w:left="0" w:right="101" w:firstLine="0" w:firstLineChars="0"/>
              <w:jc w:val="center"/>
              <w:rPr>
                <w:rFonts w:hint="eastAsia"/>
                <w:color w:val="auto"/>
                <w:sz w:val="21"/>
                <w:szCs w:val="21"/>
                <w:highlight w:val="none"/>
              </w:rPr>
            </w:pPr>
            <w:r>
              <w:rPr>
                <w:rFonts w:hint="eastAsia"/>
                <w:color w:val="auto"/>
                <w:spacing w:val="0"/>
                <w:sz w:val="21"/>
                <w:szCs w:val="21"/>
                <w:highlight w:val="none"/>
              </w:rPr>
              <w:t>检查外观、角度与牢固情况；检查视频画面质量及控制功能</w:t>
            </w:r>
          </w:p>
        </w:tc>
      </w:tr>
      <w:tr w14:paraId="249ABA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jc w:val="center"/>
        </w:trPr>
        <w:tc>
          <w:tcPr>
            <w:tcW w:w="876" w:type="dxa"/>
            <w:vMerge w:val="continue"/>
            <w:tcBorders>
              <w:top w:val="nil"/>
              <w:bottom w:val="nil"/>
            </w:tcBorders>
            <w:vAlign w:val="top"/>
          </w:tcPr>
          <w:p w14:paraId="77437556">
            <w:pPr>
              <w:jc w:val="left"/>
              <w:rPr>
                <w:rFonts w:ascii="Arial"/>
                <w:color w:val="auto"/>
                <w:sz w:val="21"/>
                <w:szCs w:val="21"/>
                <w:highlight w:val="none"/>
              </w:rPr>
            </w:pPr>
          </w:p>
        </w:tc>
        <w:tc>
          <w:tcPr>
            <w:tcW w:w="1852" w:type="dxa"/>
            <w:vAlign w:val="center"/>
          </w:tcPr>
          <w:p w14:paraId="59A47B32">
            <w:pPr>
              <w:spacing w:before="237" w:line="240" w:lineRule="auto"/>
              <w:ind w:left="251"/>
              <w:jc w:val="center"/>
              <w:rPr>
                <w:rFonts w:hint="eastAsia"/>
                <w:color w:val="auto"/>
                <w:spacing w:val="0"/>
                <w:sz w:val="21"/>
                <w:szCs w:val="21"/>
                <w:highlight w:val="none"/>
              </w:rPr>
            </w:pPr>
            <w:r>
              <w:rPr>
                <w:rFonts w:hint="eastAsia"/>
                <w:color w:val="auto"/>
                <w:spacing w:val="0"/>
                <w:sz w:val="21"/>
                <w:szCs w:val="21"/>
                <w:highlight w:val="none"/>
              </w:rPr>
              <w:t>入侵检测设备</w:t>
            </w:r>
          </w:p>
          <w:p w14:paraId="6C1493CA">
            <w:pPr>
              <w:spacing w:before="237" w:line="240" w:lineRule="auto"/>
              <w:ind w:left="251"/>
              <w:jc w:val="center"/>
              <w:rPr>
                <w:rFonts w:hint="eastAsia"/>
                <w:color w:val="auto"/>
                <w:sz w:val="21"/>
                <w:szCs w:val="21"/>
                <w:highlight w:val="none"/>
              </w:rPr>
            </w:pPr>
            <w:r>
              <w:rPr>
                <w:rFonts w:hint="eastAsia"/>
                <w:color w:val="auto"/>
                <w:spacing w:val="0"/>
                <w:sz w:val="21"/>
                <w:szCs w:val="21"/>
                <w:highlight w:val="none"/>
              </w:rPr>
              <w:t>出入口控制设备</w:t>
            </w:r>
          </w:p>
        </w:tc>
        <w:tc>
          <w:tcPr>
            <w:tcW w:w="4577" w:type="dxa"/>
            <w:vAlign w:val="center"/>
          </w:tcPr>
          <w:p w14:paraId="6B3C36F9">
            <w:pPr>
              <w:spacing w:before="126" w:line="240" w:lineRule="auto"/>
              <w:ind w:left="235" w:right="111" w:firstLine="420" w:firstLineChars="200"/>
              <w:jc w:val="center"/>
              <w:rPr>
                <w:rFonts w:hint="eastAsia"/>
                <w:color w:val="auto"/>
                <w:sz w:val="21"/>
                <w:szCs w:val="21"/>
                <w:highlight w:val="none"/>
              </w:rPr>
            </w:pPr>
            <w:r>
              <w:rPr>
                <w:rFonts w:hint="eastAsia"/>
                <w:color w:val="auto"/>
                <w:spacing w:val="0"/>
                <w:sz w:val="21"/>
                <w:szCs w:val="21"/>
                <w:highlight w:val="none"/>
              </w:rPr>
              <w:t>检查外观及工作状态；测试设备控制功能</w:t>
            </w:r>
          </w:p>
        </w:tc>
      </w:tr>
      <w:tr w14:paraId="5F72DB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jc w:val="center"/>
        </w:trPr>
        <w:tc>
          <w:tcPr>
            <w:tcW w:w="876" w:type="dxa"/>
            <w:vMerge w:val="continue"/>
            <w:tcBorders>
              <w:top w:val="nil"/>
              <w:bottom w:val="nil"/>
            </w:tcBorders>
            <w:vAlign w:val="top"/>
          </w:tcPr>
          <w:p w14:paraId="0E9802CA">
            <w:pPr>
              <w:jc w:val="left"/>
              <w:rPr>
                <w:rFonts w:ascii="Arial"/>
                <w:color w:val="auto"/>
                <w:sz w:val="21"/>
                <w:szCs w:val="21"/>
                <w:highlight w:val="none"/>
              </w:rPr>
            </w:pPr>
          </w:p>
        </w:tc>
        <w:tc>
          <w:tcPr>
            <w:tcW w:w="1852" w:type="dxa"/>
            <w:vAlign w:val="center"/>
          </w:tcPr>
          <w:p w14:paraId="2F6F4EEE">
            <w:pPr>
              <w:spacing w:before="228" w:line="240" w:lineRule="auto"/>
              <w:ind w:left="231"/>
              <w:jc w:val="center"/>
              <w:rPr>
                <w:rFonts w:hint="eastAsia"/>
                <w:color w:val="auto"/>
                <w:sz w:val="21"/>
                <w:szCs w:val="21"/>
                <w:highlight w:val="none"/>
              </w:rPr>
            </w:pPr>
            <w:r>
              <w:rPr>
                <w:rFonts w:hint="eastAsia"/>
                <w:color w:val="auto"/>
                <w:sz w:val="21"/>
                <w:szCs w:val="21"/>
                <w:highlight w:val="none"/>
              </w:rPr>
              <w:t>电子巡检设备</w:t>
            </w:r>
          </w:p>
        </w:tc>
        <w:tc>
          <w:tcPr>
            <w:tcW w:w="4577" w:type="dxa"/>
            <w:vAlign w:val="center"/>
          </w:tcPr>
          <w:p w14:paraId="232A1459">
            <w:pPr>
              <w:spacing w:before="118" w:line="240" w:lineRule="auto"/>
              <w:ind w:left="0" w:right="111" w:firstLine="0" w:firstLineChars="0"/>
              <w:jc w:val="center"/>
              <w:rPr>
                <w:rFonts w:hint="eastAsia"/>
                <w:color w:val="auto"/>
                <w:sz w:val="21"/>
                <w:szCs w:val="21"/>
                <w:highlight w:val="none"/>
              </w:rPr>
            </w:pPr>
            <w:r>
              <w:rPr>
                <w:rFonts w:hint="eastAsia"/>
                <w:color w:val="auto"/>
                <w:spacing w:val="0"/>
                <w:sz w:val="21"/>
                <w:szCs w:val="21"/>
                <w:highlight w:val="none"/>
              </w:rPr>
              <w:t>检查设备外观及工作状态</w:t>
            </w:r>
          </w:p>
        </w:tc>
      </w:tr>
      <w:tr w14:paraId="2EAC6D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jc w:val="center"/>
        </w:trPr>
        <w:tc>
          <w:tcPr>
            <w:tcW w:w="876" w:type="dxa"/>
            <w:vMerge w:val="continue"/>
            <w:tcBorders>
              <w:top w:val="nil"/>
            </w:tcBorders>
            <w:vAlign w:val="top"/>
          </w:tcPr>
          <w:p w14:paraId="74DAA32C">
            <w:pPr>
              <w:jc w:val="left"/>
              <w:rPr>
                <w:rFonts w:ascii="Arial"/>
                <w:color w:val="auto"/>
                <w:sz w:val="21"/>
                <w:szCs w:val="21"/>
                <w:highlight w:val="none"/>
              </w:rPr>
            </w:pPr>
          </w:p>
        </w:tc>
        <w:tc>
          <w:tcPr>
            <w:tcW w:w="1852" w:type="dxa"/>
            <w:vAlign w:val="center"/>
          </w:tcPr>
          <w:p w14:paraId="412B8C6A">
            <w:pPr>
              <w:spacing w:before="79" w:line="240" w:lineRule="auto"/>
              <w:ind w:left="231"/>
              <w:jc w:val="center"/>
              <w:rPr>
                <w:rFonts w:hint="eastAsia"/>
                <w:color w:val="auto"/>
                <w:sz w:val="21"/>
                <w:szCs w:val="21"/>
                <w:highlight w:val="none"/>
              </w:rPr>
            </w:pPr>
            <w:r>
              <w:rPr>
                <w:rFonts w:hint="eastAsia"/>
                <w:color w:val="auto"/>
                <w:spacing w:val="0"/>
                <w:sz w:val="21"/>
                <w:szCs w:val="21"/>
                <w:highlight w:val="none"/>
              </w:rPr>
              <w:t>线缆、接插件</w:t>
            </w:r>
          </w:p>
        </w:tc>
        <w:tc>
          <w:tcPr>
            <w:tcW w:w="4577" w:type="dxa"/>
            <w:vAlign w:val="top"/>
          </w:tcPr>
          <w:p w14:paraId="600869E4">
            <w:pPr>
              <w:spacing w:before="79" w:line="240" w:lineRule="auto"/>
              <w:ind w:left="0" w:firstLine="0" w:firstLineChars="0"/>
              <w:jc w:val="center"/>
              <w:rPr>
                <w:rFonts w:hint="eastAsia"/>
                <w:color w:val="auto"/>
                <w:sz w:val="21"/>
                <w:szCs w:val="21"/>
                <w:highlight w:val="none"/>
              </w:rPr>
            </w:pPr>
            <w:r>
              <w:rPr>
                <w:rFonts w:hint="eastAsia"/>
                <w:color w:val="auto"/>
                <w:spacing w:val="0"/>
                <w:sz w:val="21"/>
                <w:szCs w:val="21"/>
                <w:highlight w:val="none"/>
              </w:rPr>
              <w:t>检查连接情况</w:t>
            </w:r>
          </w:p>
        </w:tc>
      </w:tr>
    </w:tbl>
    <w:p w14:paraId="028F4186">
      <w:pPr>
        <w:spacing w:before="0" w:line="303" w:lineRule="auto"/>
        <w:ind w:left="0"/>
        <w:jc w:val="left"/>
        <w:rPr>
          <w:rFonts w:hint="eastAsia" w:cs="Times New Roman" w:asciiTheme="minorEastAsia" w:hAnsiTheme="minorEastAsia" w:eastAsiaTheme="minorEastAsia"/>
          <w:b w:val="0"/>
          <w:bCs w:val="0"/>
          <w:color w:val="auto"/>
          <w:spacing w:val="0"/>
          <w:w w:val="100"/>
          <w:sz w:val="21"/>
          <w:szCs w:val="21"/>
          <w:highlight w:val="none"/>
        </w:rPr>
      </w:pPr>
      <w:r>
        <w:rPr>
          <w:rFonts w:hint="eastAsia" w:ascii="黑体" w:hAnsi="黑体" w:eastAsia="黑体" w:cs="黑体"/>
          <w:b/>
          <w:bCs/>
          <w:color w:val="auto"/>
          <w:spacing w:val="0"/>
          <w:highlight w:val="none"/>
          <w:lang w:eastAsia="zh-CN"/>
        </w:rPr>
        <w:t>1</w:t>
      </w:r>
      <w:r>
        <w:rPr>
          <w:rFonts w:hint="eastAsia" w:ascii="黑体" w:hAnsi="黑体" w:eastAsia="黑体" w:cs="黑体"/>
          <w:b/>
          <w:bCs/>
          <w:color w:val="auto"/>
          <w:spacing w:val="0"/>
          <w:highlight w:val="none"/>
          <w:lang w:val="en-US" w:eastAsia="zh-CN"/>
        </w:rPr>
        <w:t>0.2.7</w:t>
      </w:r>
      <w:r>
        <w:rPr>
          <w:rFonts w:hint="eastAsia" w:ascii="Times New Roman" w:hAnsi="Times New Roman"/>
          <w:color w:val="auto"/>
          <w:spacing w:val="0"/>
          <w:highlight w:val="none"/>
        </w:rPr>
        <w:t xml:space="preserve"> </w:t>
      </w:r>
      <w:r>
        <w:rPr>
          <w:rFonts w:hint="eastAsia" w:ascii="Times New Roman" w:hAnsi="Times New Roman"/>
          <w:color w:val="auto"/>
          <w:highlight w:val="none"/>
          <w:lang w:val="en-US" w:eastAsia="zh-CN"/>
        </w:rPr>
        <w:t>小型</w:t>
      </w:r>
      <w:r>
        <w:rPr>
          <w:rFonts w:hint="eastAsia" w:ascii="Times New Roman" w:hAnsi="Times New Roman"/>
          <w:color w:val="auto"/>
          <w:highlight w:val="none"/>
        </w:rPr>
        <w:t>综合管廊</w:t>
      </w:r>
      <w:r>
        <w:rPr>
          <w:rFonts w:hint="eastAsia" w:ascii="Times New Roman" w:hAnsi="Times New Roman"/>
          <w:color w:val="auto"/>
          <w:spacing w:val="0"/>
          <w:highlight w:val="none"/>
        </w:rPr>
        <w:t>给水排水系统巡检内容及要求应符合表</w:t>
      </w:r>
      <w:r>
        <w:rPr>
          <w:rFonts w:hint="eastAsia" w:ascii="Times New Roman" w:hAnsi="Times New Roman"/>
          <w:color w:val="auto"/>
          <w:spacing w:val="0"/>
          <w:highlight w:val="none"/>
          <w:lang w:eastAsia="zh-CN"/>
        </w:rPr>
        <w:t>1</w:t>
      </w:r>
      <w:r>
        <w:rPr>
          <w:rFonts w:hint="eastAsia" w:ascii="Times New Roman" w:hAnsi="Times New Roman"/>
          <w:color w:val="auto"/>
          <w:spacing w:val="0"/>
          <w:highlight w:val="none"/>
          <w:lang w:val="en-US" w:eastAsia="zh-CN"/>
        </w:rPr>
        <w:t>0.2.7</w:t>
      </w:r>
      <w:r>
        <w:rPr>
          <w:rFonts w:hint="eastAsia" w:ascii="Times New Roman" w:hAnsi="Times New Roman"/>
          <w:color w:val="auto"/>
          <w:spacing w:val="0"/>
          <w:highlight w:val="none"/>
        </w:rPr>
        <w:t>的规定</w:t>
      </w:r>
      <w:r>
        <w:rPr>
          <w:rFonts w:hint="eastAsia" w:ascii="Times New Roman" w:hAnsi="Times New Roman"/>
          <w:color w:val="auto"/>
          <w:spacing w:val="0"/>
          <w:highlight w:val="none"/>
          <w:lang w:eastAsia="zh-CN"/>
        </w:rPr>
        <w:t>，</w:t>
      </w:r>
      <w:r>
        <w:rPr>
          <w:rFonts w:hint="eastAsia" w:ascii="Times New Roman" w:hAnsi="Times New Roman"/>
          <w:color w:val="auto"/>
          <w:spacing w:val="0"/>
          <w:highlight w:val="none"/>
          <w:lang w:val="en-US" w:eastAsia="zh-CN"/>
        </w:rPr>
        <w:t>给水排水系统</w:t>
      </w:r>
      <w:r>
        <w:rPr>
          <w:rFonts w:hint="eastAsia" w:ascii="Times New Roman" w:hAnsi="Times New Roman" w:cs="Times New Roman"/>
          <w:b w:val="0"/>
          <w:bCs w:val="0"/>
          <w:color w:val="auto"/>
          <w:spacing w:val="0"/>
          <w:sz w:val="21"/>
          <w:szCs w:val="21"/>
          <w:highlight w:val="none"/>
          <w:lang w:val="en-US" w:eastAsia="zh-CN"/>
        </w:rPr>
        <w:t>巡检每季度不应少于1次</w:t>
      </w:r>
      <w:r>
        <w:rPr>
          <w:rFonts w:hint="eastAsia" w:ascii="Times New Roman" w:hAnsi="Times New Roman"/>
          <w:color w:val="auto"/>
          <w:spacing w:val="0"/>
          <w:highlight w:val="none"/>
        </w:rPr>
        <w:t>。</w:t>
      </w:r>
    </w:p>
    <w:p w14:paraId="31AEC162">
      <w:pPr>
        <w:spacing w:before="0" w:line="400" w:lineRule="exact"/>
        <w:ind w:left="0" w:firstLine="420" w:firstLineChars="20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 w:val="0"/>
          <w:bCs w:val="0"/>
          <w:color w:val="auto"/>
          <w:spacing w:val="0"/>
          <w:w w:val="100"/>
          <w:sz w:val="21"/>
          <w:szCs w:val="21"/>
          <w:highlight w:val="none"/>
        </w:rPr>
        <w:t>表</w:t>
      </w:r>
      <w:r>
        <w:rPr>
          <w:rFonts w:hint="eastAsia" w:asciiTheme="minorEastAsia" w:hAnsiTheme="minorEastAsia" w:eastAsiaTheme="minorEastAsia" w:cstheme="minorEastAsia"/>
          <w:b w:val="0"/>
          <w:bCs w:val="0"/>
          <w:color w:val="auto"/>
          <w:spacing w:val="0"/>
          <w:w w:val="100"/>
          <w:sz w:val="21"/>
          <w:szCs w:val="21"/>
          <w:highlight w:val="none"/>
          <w:lang w:eastAsia="zh-CN"/>
        </w:rPr>
        <w:t>1</w:t>
      </w:r>
      <w:r>
        <w:rPr>
          <w:rFonts w:hint="eastAsia" w:asciiTheme="minorEastAsia" w:hAnsiTheme="minorEastAsia" w:eastAsiaTheme="minorEastAsia" w:cstheme="minorEastAsia"/>
          <w:b w:val="0"/>
          <w:bCs w:val="0"/>
          <w:color w:val="auto"/>
          <w:spacing w:val="0"/>
          <w:w w:val="100"/>
          <w:sz w:val="21"/>
          <w:szCs w:val="21"/>
          <w:highlight w:val="none"/>
          <w:lang w:val="en-US" w:eastAsia="zh-CN"/>
        </w:rPr>
        <w:t xml:space="preserve">0.2.7 </w:t>
      </w:r>
      <w:r>
        <w:rPr>
          <w:rFonts w:hint="eastAsia" w:asciiTheme="minorEastAsia" w:hAnsiTheme="minorEastAsia" w:eastAsiaTheme="minorEastAsia" w:cstheme="minorEastAsia"/>
          <w:b w:val="0"/>
          <w:bCs w:val="0"/>
          <w:color w:val="auto"/>
          <w:spacing w:val="0"/>
          <w:w w:val="100"/>
          <w:sz w:val="21"/>
          <w:szCs w:val="21"/>
          <w:highlight w:val="none"/>
        </w:rPr>
        <w:t>给水排水系统巡检内容及要求</w:t>
      </w:r>
    </w:p>
    <w:p w14:paraId="002B1131">
      <w:pPr>
        <w:spacing w:line="70" w:lineRule="exact"/>
        <w:rPr>
          <w:rFonts w:hint="eastAsia" w:asciiTheme="minorEastAsia" w:hAnsiTheme="minorEastAsia" w:eastAsiaTheme="minorEastAsia" w:cstheme="minorEastAsia"/>
          <w:color w:val="auto"/>
          <w:sz w:val="21"/>
          <w:szCs w:val="21"/>
          <w:highlight w:val="none"/>
        </w:rPr>
      </w:pPr>
    </w:p>
    <w:p w14:paraId="7E137DE4">
      <w:pPr>
        <w:spacing w:line="60" w:lineRule="exact"/>
        <w:rPr>
          <w:rFonts w:hint="eastAsia" w:asciiTheme="minorEastAsia" w:hAnsiTheme="minorEastAsia" w:eastAsiaTheme="minorEastAsia" w:cstheme="minorEastAsia"/>
          <w:color w:val="auto"/>
          <w:sz w:val="21"/>
          <w:szCs w:val="21"/>
          <w:highlight w:val="none"/>
        </w:rPr>
      </w:pPr>
    </w:p>
    <w:tbl>
      <w:tblPr>
        <w:tblStyle w:val="39"/>
        <w:tblW w:w="639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98"/>
        <w:gridCol w:w="4897"/>
      </w:tblGrid>
      <w:tr w14:paraId="443525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501" w:type="dxa"/>
            <w:vAlign w:val="top"/>
          </w:tcPr>
          <w:p w14:paraId="09197D4A">
            <w:pPr>
              <w:pStyle w:val="38"/>
              <w:spacing w:before="81" w:line="219" w:lineRule="auto"/>
              <w:ind w:left="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4"/>
                <w:sz w:val="21"/>
                <w:szCs w:val="21"/>
                <w:highlight w:val="none"/>
              </w:rPr>
              <w:t>内容</w:t>
            </w:r>
          </w:p>
        </w:tc>
        <w:tc>
          <w:tcPr>
            <w:tcW w:w="4905" w:type="dxa"/>
            <w:vAlign w:val="top"/>
          </w:tcPr>
          <w:p w14:paraId="7A6C09E1">
            <w:pPr>
              <w:pStyle w:val="38"/>
              <w:spacing w:before="82" w:line="221" w:lineRule="auto"/>
              <w:ind w:left="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2"/>
                <w:sz w:val="21"/>
                <w:szCs w:val="21"/>
                <w:highlight w:val="none"/>
              </w:rPr>
              <w:t>要求</w:t>
            </w:r>
          </w:p>
        </w:tc>
      </w:tr>
    </w:tbl>
    <w:tbl>
      <w:tblPr>
        <w:tblStyle w:val="11"/>
        <w:tblW w:w="639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92"/>
        <w:gridCol w:w="4903"/>
      </w:tblGrid>
      <w:tr w14:paraId="021395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jc w:val="center"/>
        </w:trPr>
        <w:tc>
          <w:tcPr>
            <w:tcW w:w="1587" w:type="dxa"/>
            <w:vMerge w:val="restart"/>
            <w:tcBorders>
              <w:bottom w:val="nil"/>
            </w:tcBorders>
            <w:vAlign w:val="top"/>
          </w:tcPr>
          <w:p w14:paraId="10158A46">
            <w:pPr>
              <w:spacing w:line="326" w:lineRule="auto"/>
              <w:jc w:val="center"/>
              <w:rPr>
                <w:rFonts w:hint="eastAsia" w:asciiTheme="minorEastAsia" w:hAnsiTheme="minorEastAsia" w:eastAsiaTheme="minorEastAsia" w:cstheme="minorEastAsia"/>
                <w:color w:val="auto"/>
                <w:sz w:val="21"/>
                <w:szCs w:val="21"/>
                <w:highlight w:val="none"/>
              </w:rPr>
            </w:pPr>
          </w:p>
          <w:p w14:paraId="48C5687D">
            <w:pPr>
              <w:spacing w:line="326" w:lineRule="auto"/>
              <w:jc w:val="center"/>
              <w:rPr>
                <w:rFonts w:hint="eastAsia" w:asciiTheme="minorEastAsia" w:hAnsiTheme="minorEastAsia" w:eastAsiaTheme="minorEastAsia" w:cstheme="minorEastAsia"/>
                <w:color w:val="auto"/>
                <w:sz w:val="21"/>
                <w:szCs w:val="21"/>
                <w:highlight w:val="none"/>
              </w:rPr>
            </w:pPr>
          </w:p>
          <w:p w14:paraId="4DB7152D">
            <w:pPr>
              <w:pStyle w:val="38"/>
              <w:spacing w:before="52" w:line="219" w:lineRule="auto"/>
              <w:ind w:left="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3"/>
                <w:sz w:val="21"/>
                <w:szCs w:val="21"/>
                <w:highlight w:val="none"/>
              </w:rPr>
              <w:t>管道、阀门</w:t>
            </w:r>
          </w:p>
        </w:tc>
        <w:tc>
          <w:tcPr>
            <w:tcW w:w="5216" w:type="dxa"/>
            <w:vAlign w:val="top"/>
          </w:tcPr>
          <w:p w14:paraId="2752FD62">
            <w:pPr>
              <w:pStyle w:val="38"/>
              <w:spacing w:before="68" w:line="219" w:lineRule="auto"/>
              <w:ind w:left="242"/>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防腐层无损坏、外表无锈蚀</w:t>
            </w:r>
          </w:p>
        </w:tc>
      </w:tr>
      <w:tr w14:paraId="6ABA3B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8" w:hRule="atLeast"/>
          <w:jc w:val="center"/>
        </w:trPr>
        <w:tc>
          <w:tcPr>
            <w:tcW w:w="1587" w:type="dxa"/>
            <w:vMerge w:val="continue"/>
            <w:tcBorders>
              <w:top w:val="nil"/>
              <w:bottom w:val="nil"/>
            </w:tcBorders>
            <w:vAlign w:val="top"/>
          </w:tcPr>
          <w:p w14:paraId="4020ABD4">
            <w:pPr>
              <w:jc w:val="center"/>
              <w:rPr>
                <w:rFonts w:hint="eastAsia" w:asciiTheme="minorEastAsia" w:hAnsiTheme="minorEastAsia" w:eastAsiaTheme="minorEastAsia" w:cstheme="minorEastAsia"/>
                <w:color w:val="auto"/>
                <w:sz w:val="21"/>
                <w:szCs w:val="21"/>
                <w:highlight w:val="none"/>
              </w:rPr>
            </w:pPr>
          </w:p>
        </w:tc>
        <w:tc>
          <w:tcPr>
            <w:tcW w:w="5216" w:type="dxa"/>
            <w:vAlign w:val="top"/>
          </w:tcPr>
          <w:p w14:paraId="24218D3A">
            <w:pPr>
              <w:pStyle w:val="38"/>
              <w:spacing w:before="80" w:line="220" w:lineRule="auto"/>
              <w:ind w:left="242"/>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1"/>
                <w:sz w:val="21"/>
                <w:szCs w:val="21"/>
                <w:highlight w:val="none"/>
              </w:rPr>
              <w:t>无堵塞、泄漏、裂缝及变形</w:t>
            </w:r>
          </w:p>
        </w:tc>
      </w:tr>
      <w:tr w14:paraId="0971A4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8" w:hRule="atLeast"/>
          <w:jc w:val="center"/>
        </w:trPr>
        <w:tc>
          <w:tcPr>
            <w:tcW w:w="1587" w:type="dxa"/>
            <w:vMerge w:val="continue"/>
            <w:tcBorders>
              <w:top w:val="nil"/>
              <w:bottom w:val="nil"/>
            </w:tcBorders>
            <w:vAlign w:val="top"/>
          </w:tcPr>
          <w:p w14:paraId="057D955D">
            <w:pPr>
              <w:jc w:val="center"/>
              <w:rPr>
                <w:rFonts w:hint="eastAsia" w:asciiTheme="minorEastAsia" w:hAnsiTheme="minorEastAsia" w:eastAsiaTheme="minorEastAsia" w:cstheme="minorEastAsia"/>
                <w:color w:val="auto"/>
                <w:sz w:val="21"/>
                <w:szCs w:val="21"/>
                <w:highlight w:val="none"/>
              </w:rPr>
            </w:pPr>
          </w:p>
        </w:tc>
        <w:tc>
          <w:tcPr>
            <w:tcW w:w="5216" w:type="dxa"/>
            <w:vAlign w:val="top"/>
          </w:tcPr>
          <w:p w14:paraId="646D3F70">
            <w:pPr>
              <w:pStyle w:val="38"/>
              <w:spacing w:before="80" w:line="219" w:lineRule="auto"/>
              <w:ind w:left="242"/>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1"/>
                <w:sz w:val="21"/>
                <w:szCs w:val="21"/>
                <w:highlight w:val="none"/>
              </w:rPr>
              <w:t>管道接口静密封未泄漏</w:t>
            </w:r>
          </w:p>
        </w:tc>
      </w:tr>
      <w:tr w14:paraId="672E94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jc w:val="center"/>
        </w:trPr>
        <w:tc>
          <w:tcPr>
            <w:tcW w:w="1587" w:type="dxa"/>
            <w:vMerge w:val="continue"/>
            <w:tcBorders>
              <w:top w:val="nil"/>
              <w:bottom w:val="nil"/>
            </w:tcBorders>
            <w:vAlign w:val="top"/>
          </w:tcPr>
          <w:p w14:paraId="35890AF7">
            <w:pPr>
              <w:jc w:val="center"/>
              <w:rPr>
                <w:rFonts w:hint="eastAsia" w:asciiTheme="minorEastAsia" w:hAnsiTheme="minorEastAsia" w:eastAsiaTheme="minorEastAsia" w:cstheme="minorEastAsia"/>
                <w:color w:val="auto"/>
                <w:sz w:val="21"/>
                <w:szCs w:val="21"/>
                <w:highlight w:val="none"/>
              </w:rPr>
            </w:pPr>
          </w:p>
        </w:tc>
        <w:tc>
          <w:tcPr>
            <w:tcW w:w="5216" w:type="dxa"/>
            <w:vAlign w:val="top"/>
          </w:tcPr>
          <w:p w14:paraId="3CC218B5">
            <w:pPr>
              <w:pStyle w:val="38"/>
              <w:spacing w:before="83" w:line="219" w:lineRule="auto"/>
              <w:ind w:left="242"/>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1"/>
                <w:sz w:val="21"/>
                <w:szCs w:val="21"/>
                <w:highlight w:val="none"/>
              </w:rPr>
              <w:t>支、吊架无明显松动和损坏</w:t>
            </w:r>
          </w:p>
        </w:tc>
      </w:tr>
      <w:tr w14:paraId="1CE72D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 w:hRule="atLeast"/>
          <w:jc w:val="center"/>
        </w:trPr>
        <w:tc>
          <w:tcPr>
            <w:tcW w:w="1587" w:type="dxa"/>
            <w:vMerge w:val="continue"/>
            <w:tcBorders>
              <w:top w:val="nil"/>
            </w:tcBorders>
            <w:vAlign w:val="top"/>
          </w:tcPr>
          <w:p w14:paraId="268E11CC">
            <w:pPr>
              <w:jc w:val="center"/>
              <w:rPr>
                <w:rFonts w:hint="eastAsia" w:asciiTheme="minorEastAsia" w:hAnsiTheme="minorEastAsia" w:eastAsiaTheme="minorEastAsia" w:cstheme="minorEastAsia"/>
                <w:color w:val="auto"/>
                <w:sz w:val="21"/>
                <w:szCs w:val="21"/>
                <w:highlight w:val="none"/>
              </w:rPr>
            </w:pPr>
          </w:p>
        </w:tc>
        <w:tc>
          <w:tcPr>
            <w:tcW w:w="5216" w:type="dxa"/>
            <w:vAlign w:val="top"/>
          </w:tcPr>
          <w:p w14:paraId="5034B26D">
            <w:pPr>
              <w:pStyle w:val="38"/>
              <w:spacing w:before="76" w:line="220" w:lineRule="auto"/>
              <w:ind w:left="242"/>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阀门处无垃圾及油污</w:t>
            </w:r>
          </w:p>
        </w:tc>
      </w:tr>
    </w:tbl>
    <w:tbl>
      <w:tblPr>
        <w:tblStyle w:val="39"/>
        <w:tblW w:w="639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98"/>
        <w:gridCol w:w="4897"/>
      </w:tblGrid>
      <w:tr w14:paraId="1EFE24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jc w:val="center"/>
        </w:trPr>
        <w:tc>
          <w:tcPr>
            <w:tcW w:w="1498" w:type="dxa"/>
            <w:vMerge w:val="restart"/>
            <w:tcBorders>
              <w:bottom w:val="nil"/>
            </w:tcBorders>
            <w:vAlign w:val="top"/>
          </w:tcPr>
          <w:p w14:paraId="29F6DBCC">
            <w:pPr>
              <w:spacing w:line="325" w:lineRule="auto"/>
              <w:jc w:val="center"/>
              <w:rPr>
                <w:rFonts w:hint="eastAsia" w:asciiTheme="minorEastAsia" w:hAnsiTheme="minorEastAsia" w:eastAsiaTheme="minorEastAsia" w:cstheme="minorEastAsia"/>
                <w:color w:val="auto"/>
                <w:sz w:val="21"/>
                <w:szCs w:val="21"/>
                <w:highlight w:val="none"/>
              </w:rPr>
            </w:pPr>
          </w:p>
          <w:p w14:paraId="14A668A5">
            <w:pPr>
              <w:spacing w:line="326" w:lineRule="auto"/>
              <w:jc w:val="center"/>
              <w:rPr>
                <w:rFonts w:hint="eastAsia" w:asciiTheme="minorEastAsia" w:hAnsiTheme="minorEastAsia" w:eastAsiaTheme="minorEastAsia" w:cstheme="minorEastAsia"/>
                <w:color w:val="auto"/>
                <w:sz w:val="21"/>
                <w:szCs w:val="21"/>
                <w:highlight w:val="none"/>
              </w:rPr>
            </w:pPr>
          </w:p>
          <w:p w14:paraId="710AB981">
            <w:pPr>
              <w:pStyle w:val="38"/>
              <w:spacing w:before="52" w:line="219" w:lineRule="auto"/>
              <w:ind w:left="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2"/>
                <w:sz w:val="21"/>
                <w:szCs w:val="21"/>
                <w:highlight w:val="none"/>
              </w:rPr>
              <w:t>泵组</w:t>
            </w:r>
          </w:p>
        </w:tc>
        <w:tc>
          <w:tcPr>
            <w:tcW w:w="4897" w:type="dxa"/>
            <w:vAlign w:val="top"/>
          </w:tcPr>
          <w:p w14:paraId="7957CD03">
            <w:pPr>
              <w:pStyle w:val="38"/>
              <w:spacing w:before="77" w:line="219" w:lineRule="auto"/>
              <w:ind w:left="242"/>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1"/>
                <w:sz w:val="21"/>
                <w:szCs w:val="21"/>
                <w:highlight w:val="none"/>
              </w:rPr>
              <w:t>水泵负荷开关、控制箱外观无破坏及异常</w:t>
            </w:r>
          </w:p>
        </w:tc>
      </w:tr>
      <w:tr w14:paraId="12F17B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jc w:val="center"/>
        </w:trPr>
        <w:tc>
          <w:tcPr>
            <w:tcW w:w="1498" w:type="dxa"/>
            <w:vMerge w:val="continue"/>
            <w:tcBorders>
              <w:top w:val="nil"/>
              <w:bottom w:val="nil"/>
            </w:tcBorders>
            <w:vAlign w:val="top"/>
          </w:tcPr>
          <w:p w14:paraId="5B090379">
            <w:pPr>
              <w:jc w:val="center"/>
              <w:rPr>
                <w:rFonts w:hint="eastAsia" w:asciiTheme="minorEastAsia" w:hAnsiTheme="minorEastAsia" w:eastAsiaTheme="minorEastAsia" w:cstheme="minorEastAsia"/>
                <w:color w:val="auto"/>
                <w:sz w:val="21"/>
                <w:szCs w:val="21"/>
                <w:highlight w:val="none"/>
              </w:rPr>
            </w:pPr>
          </w:p>
        </w:tc>
        <w:tc>
          <w:tcPr>
            <w:tcW w:w="4897" w:type="dxa"/>
            <w:vAlign w:val="top"/>
          </w:tcPr>
          <w:p w14:paraId="4DE62AE2">
            <w:pPr>
              <w:pStyle w:val="38"/>
              <w:spacing w:before="78" w:line="219" w:lineRule="auto"/>
              <w:ind w:left="242"/>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1"/>
                <w:sz w:val="21"/>
                <w:szCs w:val="21"/>
                <w:highlight w:val="none"/>
              </w:rPr>
              <w:t>柔性接头无松动或破损</w:t>
            </w:r>
          </w:p>
        </w:tc>
      </w:tr>
      <w:tr w14:paraId="0F4B1A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jc w:val="center"/>
        </w:trPr>
        <w:tc>
          <w:tcPr>
            <w:tcW w:w="1498" w:type="dxa"/>
            <w:vMerge w:val="continue"/>
            <w:tcBorders>
              <w:top w:val="nil"/>
              <w:bottom w:val="nil"/>
            </w:tcBorders>
            <w:vAlign w:val="top"/>
          </w:tcPr>
          <w:p w14:paraId="681AB1F5">
            <w:pPr>
              <w:jc w:val="center"/>
              <w:rPr>
                <w:rFonts w:hint="eastAsia" w:asciiTheme="minorEastAsia" w:hAnsiTheme="minorEastAsia" w:eastAsiaTheme="minorEastAsia" w:cstheme="minorEastAsia"/>
                <w:color w:val="auto"/>
                <w:sz w:val="21"/>
                <w:szCs w:val="21"/>
                <w:highlight w:val="none"/>
              </w:rPr>
            </w:pPr>
          </w:p>
        </w:tc>
        <w:tc>
          <w:tcPr>
            <w:tcW w:w="4897" w:type="dxa"/>
            <w:vAlign w:val="top"/>
          </w:tcPr>
          <w:p w14:paraId="43B95054">
            <w:pPr>
              <w:pStyle w:val="38"/>
              <w:spacing w:before="69" w:line="219" w:lineRule="auto"/>
              <w:ind w:left="242"/>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1"/>
                <w:sz w:val="21"/>
                <w:szCs w:val="21"/>
                <w:highlight w:val="none"/>
              </w:rPr>
              <w:t>运行无异响</w:t>
            </w:r>
          </w:p>
        </w:tc>
      </w:tr>
      <w:tr w14:paraId="7C9778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jc w:val="center"/>
        </w:trPr>
        <w:tc>
          <w:tcPr>
            <w:tcW w:w="1498" w:type="dxa"/>
            <w:vMerge w:val="continue"/>
            <w:tcBorders>
              <w:top w:val="nil"/>
              <w:bottom w:val="nil"/>
            </w:tcBorders>
            <w:vAlign w:val="top"/>
          </w:tcPr>
          <w:p w14:paraId="716C6920">
            <w:pPr>
              <w:jc w:val="center"/>
              <w:rPr>
                <w:rFonts w:hint="eastAsia" w:asciiTheme="minorEastAsia" w:hAnsiTheme="minorEastAsia" w:eastAsiaTheme="minorEastAsia" w:cstheme="minorEastAsia"/>
                <w:color w:val="auto"/>
                <w:sz w:val="21"/>
                <w:szCs w:val="21"/>
                <w:highlight w:val="none"/>
              </w:rPr>
            </w:pPr>
          </w:p>
        </w:tc>
        <w:tc>
          <w:tcPr>
            <w:tcW w:w="4897" w:type="dxa"/>
            <w:vAlign w:val="top"/>
          </w:tcPr>
          <w:p w14:paraId="265CF039">
            <w:pPr>
              <w:pStyle w:val="38"/>
              <w:spacing w:before="79" w:line="219" w:lineRule="auto"/>
              <w:ind w:left="242"/>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1"/>
                <w:sz w:val="21"/>
                <w:szCs w:val="21"/>
                <w:highlight w:val="none"/>
              </w:rPr>
              <w:t>运行时水位下降速度正常，符合技术标准</w:t>
            </w:r>
          </w:p>
        </w:tc>
      </w:tr>
      <w:tr w14:paraId="0F098F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0" w:hRule="atLeast"/>
          <w:jc w:val="center"/>
        </w:trPr>
        <w:tc>
          <w:tcPr>
            <w:tcW w:w="1498" w:type="dxa"/>
            <w:vMerge w:val="continue"/>
            <w:tcBorders>
              <w:top w:val="nil"/>
            </w:tcBorders>
            <w:vAlign w:val="top"/>
          </w:tcPr>
          <w:p w14:paraId="1B80D454">
            <w:pPr>
              <w:jc w:val="center"/>
              <w:rPr>
                <w:rFonts w:hint="eastAsia" w:asciiTheme="minorEastAsia" w:hAnsiTheme="minorEastAsia" w:eastAsiaTheme="minorEastAsia" w:cstheme="minorEastAsia"/>
                <w:color w:val="auto"/>
                <w:sz w:val="21"/>
                <w:szCs w:val="21"/>
                <w:highlight w:val="none"/>
              </w:rPr>
            </w:pPr>
          </w:p>
        </w:tc>
        <w:tc>
          <w:tcPr>
            <w:tcW w:w="4897" w:type="dxa"/>
            <w:vAlign w:val="top"/>
          </w:tcPr>
          <w:p w14:paraId="5B9A070D">
            <w:pPr>
              <w:pStyle w:val="38"/>
              <w:spacing w:before="70" w:line="219" w:lineRule="auto"/>
              <w:ind w:left="242"/>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1"/>
                <w:sz w:val="21"/>
                <w:szCs w:val="21"/>
                <w:highlight w:val="none"/>
              </w:rPr>
              <w:t>水泵运行时的电压、电流值正常</w:t>
            </w:r>
          </w:p>
        </w:tc>
      </w:tr>
      <w:tr w14:paraId="15A452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498" w:type="dxa"/>
            <w:vMerge w:val="restart"/>
            <w:tcBorders>
              <w:bottom w:val="nil"/>
            </w:tcBorders>
            <w:vAlign w:val="top"/>
          </w:tcPr>
          <w:p w14:paraId="0106EBE3">
            <w:pPr>
              <w:spacing w:line="333" w:lineRule="auto"/>
              <w:jc w:val="center"/>
              <w:rPr>
                <w:rFonts w:hint="eastAsia" w:asciiTheme="minorEastAsia" w:hAnsiTheme="minorEastAsia" w:eastAsiaTheme="minorEastAsia" w:cstheme="minorEastAsia"/>
                <w:color w:val="auto"/>
                <w:sz w:val="21"/>
                <w:szCs w:val="21"/>
                <w:highlight w:val="none"/>
              </w:rPr>
            </w:pPr>
          </w:p>
          <w:p w14:paraId="64DB9CCF">
            <w:pPr>
              <w:spacing w:line="333" w:lineRule="auto"/>
              <w:jc w:val="center"/>
              <w:rPr>
                <w:rFonts w:hint="eastAsia" w:asciiTheme="minorEastAsia" w:hAnsiTheme="minorEastAsia" w:eastAsiaTheme="minorEastAsia" w:cstheme="minorEastAsia"/>
                <w:color w:val="auto"/>
                <w:sz w:val="21"/>
                <w:szCs w:val="21"/>
                <w:highlight w:val="none"/>
              </w:rPr>
            </w:pPr>
          </w:p>
          <w:p w14:paraId="7C71564F">
            <w:pPr>
              <w:pStyle w:val="38"/>
              <w:spacing w:before="52" w:line="220" w:lineRule="auto"/>
              <w:ind w:left="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2"/>
                <w:sz w:val="21"/>
                <w:szCs w:val="21"/>
                <w:highlight w:val="none"/>
              </w:rPr>
              <w:t>其他设施</w:t>
            </w:r>
          </w:p>
        </w:tc>
        <w:tc>
          <w:tcPr>
            <w:tcW w:w="4897" w:type="dxa"/>
            <w:vAlign w:val="top"/>
          </w:tcPr>
          <w:p w14:paraId="00A8BCEB">
            <w:pPr>
              <w:pStyle w:val="38"/>
              <w:spacing w:before="121" w:line="287" w:lineRule="auto"/>
              <w:ind w:left="0" w:right="181"/>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挡水板装置完整，安装牢固，卡槽内无杂物，</w:t>
            </w:r>
            <w:r>
              <w:rPr>
                <w:rFonts w:hint="eastAsia" w:asciiTheme="minorEastAsia" w:hAnsiTheme="minorEastAsia" w:eastAsiaTheme="minorEastAsia" w:cstheme="minorEastAsia"/>
                <w:color w:val="auto"/>
                <w:spacing w:val="-1"/>
                <w:sz w:val="21"/>
                <w:szCs w:val="21"/>
                <w:highlight w:val="none"/>
              </w:rPr>
              <w:t>密封完好，部件无</w:t>
            </w:r>
            <w:r>
              <w:rPr>
                <w:rFonts w:hint="eastAsia" w:asciiTheme="minorEastAsia" w:hAnsiTheme="minorEastAsia" w:eastAsiaTheme="minorEastAsia" w:cstheme="minorEastAsia"/>
                <w:color w:val="auto"/>
                <w:spacing w:val="-2"/>
                <w:sz w:val="21"/>
                <w:szCs w:val="21"/>
                <w:highlight w:val="none"/>
              </w:rPr>
              <w:t>锈蚀</w:t>
            </w:r>
          </w:p>
        </w:tc>
      </w:tr>
      <w:tr w14:paraId="0BDCF6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jc w:val="center"/>
        </w:trPr>
        <w:tc>
          <w:tcPr>
            <w:tcW w:w="1498" w:type="dxa"/>
            <w:vMerge w:val="continue"/>
            <w:tcBorders>
              <w:top w:val="nil"/>
              <w:bottom w:val="nil"/>
            </w:tcBorders>
            <w:vAlign w:val="top"/>
          </w:tcPr>
          <w:p w14:paraId="2100964F">
            <w:pPr>
              <w:rPr>
                <w:rFonts w:hint="eastAsia" w:asciiTheme="minorEastAsia" w:hAnsiTheme="minorEastAsia" w:eastAsiaTheme="minorEastAsia" w:cstheme="minorEastAsia"/>
                <w:color w:val="auto"/>
                <w:sz w:val="21"/>
                <w:szCs w:val="21"/>
                <w:highlight w:val="none"/>
              </w:rPr>
            </w:pPr>
          </w:p>
        </w:tc>
        <w:tc>
          <w:tcPr>
            <w:tcW w:w="4897" w:type="dxa"/>
            <w:vAlign w:val="top"/>
          </w:tcPr>
          <w:p w14:paraId="019FED42">
            <w:pPr>
              <w:pStyle w:val="38"/>
              <w:spacing w:before="82" w:line="219" w:lineRule="auto"/>
              <w:ind w:left="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防汛沙袋、防水膜等设施干燥，无破损，堆放整齐</w:t>
            </w:r>
          </w:p>
        </w:tc>
      </w:tr>
      <w:tr w14:paraId="26370F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jc w:val="center"/>
        </w:trPr>
        <w:tc>
          <w:tcPr>
            <w:tcW w:w="1498" w:type="dxa"/>
            <w:vMerge w:val="continue"/>
            <w:tcBorders>
              <w:top w:val="nil"/>
              <w:bottom w:val="nil"/>
            </w:tcBorders>
            <w:vAlign w:val="top"/>
          </w:tcPr>
          <w:p w14:paraId="44734FCD">
            <w:pPr>
              <w:rPr>
                <w:rFonts w:hint="eastAsia" w:asciiTheme="minorEastAsia" w:hAnsiTheme="minorEastAsia" w:eastAsiaTheme="minorEastAsia" w:cstheme="minorEastAsia"/>
                <w:color w:val="auto"/>
                <w:sz w:val="21"/>
                <w:szCs w:val="21"/>
                <w:highlight w:val="none"/>
              </w:rPr>
            </w:pPr>
          </w:p>
        </w:tc>
        <w:tc>
          <w:tcPr>
            <w:tcW w:w="4897" w:type="dxa"/>
            <w:vAlign w:val="top"/>
          </w:tcPr>
          <w:p w14:paraId="12D225DF">
            <w:pPr>
              <w:pStyle w:val="38"/>
              <w:spacing w:before="84" w:line="219" w:lineRule="auto"/>
              <w:ind w:left="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出入口截水沟无杂物</w:t>
            </w:r>
          </w:p>
        </w:tc>
      </w:tr>
      <w:tr w14:paraId="5C8AB8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jc w:val="center"/>
        </w:trPr>
        <w:tc>
          <w:tcPr>
            <w:tcW w:w="1498" w:type="dxa"/>
            <w:vMerge w:val="continue"/>
            <w:tcBorders>
              <w:top w:val="nil"/>
            </w:tcBorders>
            <w:vAlign w:val="top"/>
          </w:tcPr>
          <w:p w14:paraId="7A4EAF4D">
            <w:pPr>
              <w:rPr>
                <w:rFonts w:hint="eastAsia" w:asciiTheme="minorEastAsia" w:hAnsiTheme="minorEastAsia" w:eastAsiaTheme="minorEastAsia" w:cstheme="minorEastAsia"/>
                <w:color w:val="auto"/>
                <w:sz w:val="21"/>
                <w:szCs w:val="21"/>
                <w:highlight w:val="none"/>
              </w:rPr>
            </w:pPr>
          </w:p>
        </w:tc>
        <w:tc>
          <w:tcPr>
            <w:tcW w:w="4897" w:type="dxa"/>
            <w:vAlign w:val="top"/>
          </w:tcPr>
          <w:p w14:paraId="7F68B828">
            <w:pPr>
              <w:pStyle w:val="38"/>
              <w:spacing w:before="85" w:line="219" w:lineRule="auto"/>
              <w:ind w:left="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1"/>
                <w:sz w:val="21"/>
                <w:szCs w:val="21"/>
                <w:highlight w:val="none"/>
              </w:rPr>
              <w:t>沿线市政排水设施通畅无杂物</w:t>
            </w:r>
          </w:p>
        </w:tc>
      </w:tr>
    </w:tbl>
    <w:p w14:paraId="2228F789">
      <w:pPr>
        <w:spacing w:before="72" w:line="240" w:lineRule="auto"/>
        <w:ind w:left="0" w:firstLine="0" w:firstLineChars="0"/>
        <w:jc w:val="left"/>
        <w:rPr>
          <w:rFonts w:hint="eastAsia" w:ascii="Times New Roman" w:hAnsi="Times New Roman"/>
          <w:color w:val="auto"/>
          <w:sz w:val="21"/>
          <w:szCs w:val="21"/>
          <w:highlight w:val="none"/>
        </w:rPr>
      </w:pPr>
    </w:p>
    <w:p w14:paraId="38B2E7A9">
      <w:pPr>
        <w:spacing w:line="240" w:lineRule="auto"/>
        <w:jc w:val="left"/>
        <w:rPr>
          <w:rFonts w:hint="eastAsia" w:ascii="Times New Roman" w:hAnsi="Times New Roman" w:eastAsia="宋体" w:cs="Times New Roman"/>
          <w:b w:val="0"/>
          <w:bCs w:val="0"/>
          <w:color w:val="auto"/>
          <w:highlight w:val="none"/>
          <w:lang w:val="en-US" w:eastAsia="zh-CN"/>
        </w:rPr>
      </w:pPr>
      <w:r>
        <w:rPr>
          <w:rFonts w:hint="eastAsia" w:ascii="黑体" w:hAnsi="黑体" w:eastAsia="黑体" w:cs="黑体"/>
          <w:b/>
          <w:bCs/>
          <w:color w:val="auto"/>
          <w:spacing w:val="0"/>
          <w:highlight w:val="none"/>
          <w:lang w:val="en-US" w:eastAsia="zh-CN"/>
        </w:rPr>
        <w:t>10.2.8</w:t>
      </w:r>
      <w:r>
        <w:rPr>
          <w:color w:val="auto"/>
          <w:spacing w:val="6"/>
          <w:highlight w:val="none"/>
        </w:rPr>
        <w:t xml:space="preserve">  </w:t>
      </w:r>
      <w:r>
        <w:rPr>
          <w:rFonts w:hint="eastAsia" w:ascii="Times New Roman" w:hAnsi="Times New Roman"/>
          <w:color w:val="auto"/>
          <w:highlight w:val="none"/>
          <w:lang w:val="en-US" w:eastAsia="zh-CN"/>
        </w:rPr>
        <w:t>小型</w:t>
      </w:r>
      <w:r>
        <w:rPr>
          <w:rFonts w:hint="eastAsia" w:ascii="Times New Roman" w:hAnsi="Times New Roman"/>
          <w:color w:val="auto"/>
          <w:highlight w:val="none"/>
        </w:rPr>
        <w:t>综合管廊</w:t>
      </w:r>
      <w:r>
        <w:rPr>
          <w:color w:val="auto"/>
          <w:spacing w:val="6"/>
          <w:highlight w:val="none"/>
        </w:rPr>
        <w:t>标识系统</w:t>
      </w:r>
      <w:r>
        <w:rPr>
          <w:color w:val="auto"/>
          <w:spacing w:val="5"/>
          <w:highlight w:val="none"/>
        </w:rPr>
        <w:t>巡检内容应包括标识</w:t>
      </w:r>
      <w:r>
        <w:rPr>
          <w:color w:val="auto"/>
          <w:spacing w:val="1"/>
          <w:highlight w:val="none"/>
        </w:rPr>
        <w:t>位置准确情况、表面清洁情况、安装牢固情况、安装端正情况、</w:t>
      </w:r>
      <w:r>
        <w:rPr>
          <w:color w:val="auto"/>
          <w:spacing w:val="5"/>
          <w:highlight w:val="none"/>
        </w:rPr>
        <w:t xml:space="preserve"> </w:t>
      </w:r>
      <w:r>
        <w:rPr>
          <w:color w:val="auto"/>
          <w:spacing w:val="-4"/>
          <w:highlight w:val="none"/>
        </w:rPr>
        <w:t>损坏或灭失情况等</w:t>
      </w:r>
      <w:r>
        <w:rPr>
          <w:rFonts w:hint="eastAsia"/>
          <w:color w:val="auto"/>
          <w:spacing w:val="-4"/>
          <w:highlight w:val="none"/>
          <w:lang w:eastAsia="zh-CN"/>
        </w:rPr>
        <w:t>，</w:t>
      </w:r>
      <w:r>
        <w:rPr>
          <w:rFonts w:hint="eastAsia"/>
          <w:color w:val="auto"/>
          <w:spacing w:val="-4"/>
          <w:highlight w:val="none"/>
          <w:lang w:val="en-US" w:eastAsia="zh-CN"/>
        </w:rPr>
        <w:t>标识系统</w:t>
      </w:r>
      <w:r>
        <w:rPr>
          <w:rFonts w:hint="eastAsia" w:ascii="Times New Roman" w:hAnsi="Times New Roman" w:cs="Times New Roman"/>
          <w:b w:val="0"/>
          <w:bCs w:val="0"/>
          <w:color w:val="auto"/>
          <w:spacing w:val="0"/>
          <w:sz w:val="21"/>
          <w:szCs w:val="21"/>
          <w:highlight w:val="none"/>
          <w:lang w:val="en-US" w:eastAsia="zh-CN"/>
        </w:rPr>
        <w:t>巡检每季度不应少于1次</w:t>
      </w:r>
      <w:r>
        <w:rPr>
          <w:color w:val="auto"/>
          <w:spacing w:val="-4"/>
          <w:highlight w:val="none"/>
        </w:rPr>
        <w:t>。</w:t>
      </w:r>
    </w:p>
    <w:p w14:paraId="1A0305EE">
      <w:pPr>
        <w:pStyle w:val="34"/>
        <w:spacing w:before="156" w:beforeLines="50" w:after="156" w:afterLines="50"/>
        <w:outlineLvl w:val="2"/>
        <w:rPr>
          <w:rFonts w:hint="eastAsia" w:ascii="黑体" w:hAnsi="黑体" w:eastAsia="黑体" w:cs="黑体"/>
          <w:b/>
          <w:bCs/>
          <w:color w:val="auto"/>
          <w:sz w:val="21"/>
          <w:szCs w:val="21"/>
          <w:highlight w:val="none"/>
          <w:lang w:val="en-US" w:eastAsia="zh-CN"/>
        </w:rPr>
      </w:pPr>
      <w:bookmarkStart w:id="192" w:name="_Toc19791"/>
      <w:bookmarkStart w:id="193" w:name="_Toc23411"/>
      <w:bookmarkStart w:id="194" w:name="_Toc3009"/>
      <w:r>
        <w:rPr>
          <w:rFonts w:hint="eastAsia" w:ascii="黑体" w:hAnsi="黑体" w:eastAsia="黑体" w:cs="黑体"/>
          <w:b/>
          <w:bCs/>
          <w:color w:val="auto"/>
          <w:sz w:val="21"/>
          <w:szCs w:val="21"/>
          <w:highlight w:val="none"/>
          <w:lang w:val="en-US" w:eastAsia="zh-CN"/>
        </w:rPr>
        <w:t>10.3 资料</w:t>
      </w:r>
      <w:bookmarkEnd w:id="192"/>
      <w:bookmarkEnd w:id="193"/>
      <w:bookmarkEnd w:id="194"/>
    </w:p>
    <w:bookmarkEnd w:id="191"/>
    <w:p w14:paraId="01494D5D">
      <w:pPr>
        <w:rPr>
          <w:rFonts w:ascii="Times New Roman" w:hAnsi="Times New Roman"/>
          <w:color w:val="auto"/>
          <w:highlight w:val="none"/>
        </w:rPr>
      </w:pPr>
      <w:r>
        <w:rPr>
          <w:rFonts w:hint="eastAsia" w:ascii="黑体" w:hAnsi="黑体" w:eastAsia="黑体" w:cs="黑体"/>
          <w:b/>
          <w:bCs/>
          <w:color w:val="auto"/>
          <w:highlight w:val="none"/>
        </w:rPr>
        <w:t>10.</w:t>
      </w:r>
      <w:r>
        <w:rPr>
          <w:rFonts w:hint="eastAsia" w:ascii="黑体" w:hAnsi="黑体" w:eastAsia="黑体" w:cs="黑体"/>
          <w:b/>
          <w:bCs/>
          <w:color w:val="auto"/>
          <w:highlight w:val="none"/>
          <w:lang w:val="en-US" w:eastAsia="zh-CN"/>
        </w:rPr>
        <w:t>3</w:t>
      </w:r>
      <w:r>
        <w:rPr>
          <w:rFonts w:hint="eastAsia" w:ascii="黑体" w:hAnsi="黑体" w:eastAsia="黑体" w:cs="黑体"/>
          <w:b/>
          <w:bCs/>
          <w:color w:val="auto"/>
          <w:highlight w:val="none"/>
        </w:rPr>
        <w:t>.1</w:t>
      </w:r>
      <w:r>
        <w:rPr>
          <w:rFonts w:hint="eastAsia" w:ascii="Times New Roman" w:hAnsi="Times New Roman"/>
          <w:color w:val="auto"/>
          <w:highlight w:val="none"/>
        </w:rPr>
        <w:t xml:space="preserve"> 小型综合管廊建设、运营维护过程中，档案资料的存放、保管应符合国家现行标准的有关规定。</w:t>
      </w:r>
    </w:p>
    <w:p w14:paraId="7429AACB">
      <w:pPr>
        <w:rPr>
          <w:rFonts w:hint="eastAsia" w:ascii="Times New Roman" w:hAnsi="Times New Roman" w:eastAsia="宋体"/>
          <w:color w:val="auto"/>
          <w:highlight w:val="none"/>
          <w:lang w:eastAsia="zh-CN"/>
        </w:rPr>
      </w:pPr>
      <w:r>
        <w:rPr>
          <w:rFonts w:hint="eastAsia" w:ascii="黑体" w:hAnsi="黑体" w:eastAsia="黑体" w:cs="黑体"/>
          <w:b/>
          <w:bCs/>
          <w:color w:val="auto"/>
          <w:highlight w:val="none"/>
        </w:rPr>
        <w:t>10.</w:t>
      </w:r>
      <w:r>
        <w:rPr>
          <w:rFonts w:hint="eastAsia" w:ascii="黑体" w:hAnsi="黑体" w:eastAsia="黑体" w:cs="黑体"/>
          <w:b/>
          <w:bCs/>
          <w:color w:val="auto"/>
          <w:highlight w:val="none"/>
          <w:lang w:val="en-US" w:eastAsia="zh-CN"/>
        </w:rPr>
        <w:t>3</w:t>
      </w:r>
      <w:r>
        <w:rPr>
          <w:rFonts w:hint="eastAsia" w:ascii="黑体" w:hAnsi="黑体" w:eastAsia="黑体" w:cs="黑体"/>
          <w:b/>
          <w:bCs/>
          <w:color w:val="auto"/>
          <w:highlight w:val="none"/>
        </w:rPr>
        <w:t xml:space="preserve">.2 </w:t>
      </w:r>
      <w:r>
        <w:rPr>
          <w:rFonts w:hint="eastAsia" w:ascii="Times New Roman" w:hAnsi="Times New Roman"/>
          <w:color w:val="auto"/>
          <w:highlight w:val="none"/>
        </w:rPr>
        <w:t>小型综合管廊建设期间的档案资料应由建设单位负责收集、整理、归档。建设单位应及时移交相关资料。运维期间，应由小型综合管廊日常管理单位负责收集、整理、归档。</w:t>
      </w:r>
    </w:p>
    <w:p w14:paraId="7D8A2EEC">
      <w:pPr>
        <w:rPr>
          <w:rFonts w:ascii="Times New Roman" w:hAnsi="Times New Roman"/>
          <w:color w:val="auto"/>
          <w:highlight w:val="none"/>
        </w:rPr>
      </w:pPr>
      <w:r>
        <w:rPr>
          <w:rFonts w:hint="eastAsia" w:ascii="黑体" w:hAnsi="黑体" w:eastAsia="黑体" w:cs="黑体"/>
          <w:b/>
          <w:bCs/>
          <w:color w:val="auto"/>
          <w:highlight w:val="none"/>
        </w:rPr>
        <w:t>10.</w:t>
      </w:r>
      <w:r>
        <w:rPr>
          <w:rFonts w:hint="eastAsia" w:ascii="黑体" w:hAnsi="黑体" w:eastAsia="黑体" w:cs="黑体"/>
          <w:b/>
          <w:bCs/>
          <w:color w:val="auto"/>
          <w:highlight w:val="none"/>
          <w:lang w:val="en-US" w:eastAsia="zh-CN"/>
        </w:rPr>
        <w:t>3</w:t>
      </w:r>
      <w:r>
        <w:rPr>
          <w:rFonts w:hint="eastAsia" w:ascii="黑体" w:hAnsi="黑体" w:eastAsia="黑体" w:cs="黑体"/>
          <w:b/>
          <w:bCs/>
          <w:color w:val="auto"/>
          <w:highlight w:val="none"/>
        </w:rPr>
        <w:t xml:space="preserve">.3 </w:t>
      </w:r>
      <w:r>
        <w:rPr>
          <w:rFonts w:hint="eastAsia" w:ascii="Times New Roman" w:hAnsi="Times New Roman"/>
          <w:color w:val="auto"/>
          <w:highlight w:val="none"/>
        </w:rPr>
        <w:t>小型综合管廊相关设施进行维修及改造后，应将维修和改造的技术资料整理、存档。</w:t>
      </w:r>
    </w:p>
    <w:p w14:paraId="3936FECF">
      <w:pPr>
        <w:rPr>
          <w:color w:val="auto"/>
          <w:highlight w:val="none"/>
        </w:rPr>
      </w:pPr>
      <w:r>
        <w:rPr>
          <w:rFonts w:hint="eastAsia" w:ascii="黑体" w:hAnsi="黑体" w:eastAsia="黑体" w:cs="黑体"/>
          <w:b/>
          <w:bCs/>
          <w:color w:val="auto"/>
          <w:highlight w:val="none"/>
        </w:rPr>
        <w:t>10.</w:t>
      </w:r>
      <w:r>
        <w:rPr>
          <w:rFonts w:hint="eastAsia" w:ascii="黑体" w:hAnsi="黑体" w:eastAsia="黑体" w:cs="黑体"/>
          <w:b/>
          <w:bCs/>
          <w:color w:val="auto"/>
          <w:highlight w:val="none"/>
          <w:lang w:val="en-US" w:eastAsia="zh-CN"/>
        </w:rPr>
        <w:t>3</w:t>
      </w:r>
      <w:r>
        <w:rPr>
          <w:rFonts w:hint="eastAsia" w:ascii="黑体" w:hAnsi="黑体" w:eastAsia="黑体" w:cs="黑体"/>
          <w:b/>
          <w:bCs/>
          <w:color w:val="auto"/>
          <w:highlight w:val="none"/>
        </w:rPr>
        <w:t xml:space="preserve">.4 </w:t>
      </w:r>
      <w:r>
        <w:rPr>
          <w:rFonts w:hint="eastAsia" w:ascii="Times New Roman" w:hAnsi="Times New Roman"/>
          <w:color w:val="auto"/>
          <w:highlight w:val="none"/>
        </w:rPr>
        <w:t>各专业管线单位应按规范要求向管廊运营维护单位提交入廊管线</w:t>
      </w:r>
      <w:r>
        <w:rPr>
          <w:rFonts w:hint="eastAsia" w:ascii="Times New Roman" w:hAnsi="Times New Roman"/>
          <w:color w:val="auto"/>
          <w:highlight w:val="none"/>
          <w:lang w:val="en-US" w:eastAsia="zh-CN"/>
        </w:rPr>
        <w:t>验收</w:t>
      </w:r>
      <w:r>
        <w:rPr>
          <w:rFonts w:hint="eastAsia" w:ascii="Times New Roman" w:hAnsi="Times New Roman"/>
          <w:color w:val="auto"/>
          <w:highlight w:val="none"/>
        </w:rPr>
        <w:t>资料。</w:t>
      </w:r>
    </w:p>
    <w:p w14:paraId="0DDA1468">
      <w:pPr>
        <w:rPr>
          <w:rFonts w:ascii="Times New Roman" w:hAnsi="Times New Roman"/>
          <w:color w:val="auto"/>
          <w:highlight w:val="none"/>
        </w:rPr>
      </w:pPr>
      <w:r>
        <w:rPr>
          <w:rFonts w:hint="eastAsia" w:ascii="黑体" w:hAnsi="黑体" w:eastAsia="黑体" w:cs="黑体"/>
          <w:b/>
          <w:bCs/>
          <w:color w:val="auto"/>
          <w:highlight w:val="none"/>
          <w:lang w:val="en-US" w:eastAsia="zh-CN"/>
        </w:rPr>
        <w:t>10.3.5</w:t>
      </w:r>
      <w:r>
        <w:rPr>
          <w:rFonts w:hint="eastAsia" w:ascii="Times New Roman" w:hAnsi="Times New Roman"/>
          <w:color w:val="auto"/>
          <w:highlight w:val="none"/>
          <w:lang w:val="en-US" w:eastAsia="zh-CN"/>
        </w:rPr>
        <w:t xml:space="preserve"> </w:t>
      </w:r>
      <w:r>
        <w:rPr>
          <w:rFonts w:hint="eastAsia" w:ascii="Times New Roman" w:hAnsi="Times New Roman"/>
          <w:color w:val="auto"/>
          <w:highlight w:val="none"/>
        </w:rPr>
        <w:t>综合管廊档案宜实行信息化管理，尚应符合现行行业标准《建设电子文件与电子档案管理规范》CJJ/T 117和《建设电子档案元数据标准》CJJ/T 187的有关规定。</w:t>
      </w:r>
    </w:p>
    <w:p w14:paraId="024D9F05">
      <w:pPr>
        <w:ind w:firstLine="567"/>
        <w:rPr>
          <w:rFonts w:ascii="Times New Roman" w:hAnsi="Times New Roman"/>
          <w:color w:val="auto"/>
          <w:highlight w:val="none"/>
        </w:rPr>
      </w:pPr>
      <w:r>
        <w:rPr>
          <w:rFonts w:hint="eastAsia" w:ascii="Times New Roman" w:hAnsi="Times New Roman"/>
          <w:color w:val="auto"/>
          <w:highlight w:val="none"/>
        </w:rPr>
        <w:br w:type="page"/>
      </w:r>
    </w:p>
    <w:p w14:paraId="314E594D">
      <w:pPr>
        <w:pStyle w:val="2"/>
        <w:spacing w:before="300" w:after="300" w:line="400" w:lineRule="exact"/>
        <w:jc w:val="center"/>
        <w:rPr>
          <w:rFonts w:ascii="黑体" w:hAnsi="黑体"/>
          <w:color w:val="auto"/>
          <w:highlight w:val="none"/>
        </w:rPr>
      </w:pPr>
      <w:bookmarkStart w:id="195" w:name="_Toc26279"/>
      <w:bookmarkStart w:id="196" w:name="_Toc2731"/>
      <w:bookmarkStart w:id="197" w:name="_Toc7423"/>
      <w:r>
        <w:rPr>
          <w:rFonts w:hint="eastAsia" w:ascii="黑体" w:hAnsi="黑体"/>
          <w:color w:val="auto"/>
          <w:highlight w:val="none"/>
        </w:rPr>
        <w:t>附录</w:t>
      </w:r>
      <w:r>
        <w:rPr>
          <w:rFonts w:hint="eastAsia" w:ascii="黑体" w:hAnsi="黑体"/>
          <w:color w:val="auto"/>
          <w:highlight w:val="none"/>
          <w:lang w:val="en-US" w:eastAsia="zh-CN"/>
        </w:rPr>
        <w:t>A</w:t>
      </w:r>
      <w:r>
        <w:rPr>
          <w:rFonts w:hint="eastAsia" w:ascii="黑体" w:hAnsi="黑体"/>
          <w:color w:val="auto"/>
          <w:highlight w:val="none"/>
        </w:rPr>
        <w:t xml:space="preserve">  小型综合管廊预制拼装标准断面</w:t>
      </w:r>
      <w:bookmarkEnd w:id="195"/>
      <w:bookmarkEnd w:id="196"/>
      <w:bookmarkEnd w:id="197"/>
    </w:p>
    <w:p w14:paraId="03AF5024">
      <w:pPr>
        <w:spacing w:line="360" w:lineRule="auto"/>
        <w:ind w:firstLine="560"/>
        <w:rPr>
          <w:rFonts w:ascii="宋体" w:hAnsi="宋体" w:cs="宋体"/>
          <w:color w:val="auto"/>
          <w:highlight w:val="none"/>
        </w:rPr>
      </w:pPr>
      <w:r>
        <w:rPr>
          <w:rFonts w:hint="eastAsia" w:ascii="宋体" w:hAnsi="宋体" w:cs="宋体"/>
          <w:color w:val="auto"/>
          <w:highlight w:val="none"/>
        </w:rPr>
        <w:t>小型综合管廊预制多弧涵管标准横断面可参照图</w:t>
      </w:r>
      <w:r>
        <w:rPr>
          <w:rFonts w:hint="eastAsia" w:ascii="宋体" w:hAnsi="宋体" w:cs="宋体"/>
          <w:color w:val="auto"/>
          <w:highlight w:val="none"/>
          <w:lang w:val="en-US" w:eastAsia="zh-CN"/>
        </w:rPr>
        <w:t>A</w:t>
      </w:r>
      <w:r>
        <w:rPr>
          <w:rFonts w:hint="eastAsia" w:ascii="宋体" w:hAnsi="宋体" w:cs="宋体"/>
          <w:color w:val="auto"/>
          <w:highlight w:val="none"/>
        </w:rPr>
        <w:t>.1~</w:t>
      </w:r>
      <w:r>
        <w:rPr>
          <w:rFonts w:hint="eastAsia" w:ascii="宋体" w:hAnsi="宋体" w:cs="宋体"/>
          <w:color w:val="auto"/>
          <w:highlight w:val="none"/>
          <w:lang w:val="en-US" w:eastAsia="zh-CN"/>
        </w:rPr>
        <w:t>A</w:t>
      </w:r>
      <w:r>
        <w:rPr>
          <w:rFonts w:hint="eastAsia" w:ascii="宋体" w:hAnsi="宋体" w:cs="宋体"/>
          <w:color w:val="auto"/>
          <w:highlight w:val="none"/>
        </w:rPr>
        <w:t>.</w:t>
      </w:r>
      <w:r>
        <w:rPr>
          <w:rFonts w:hint="eastAsia" w:ascii="宋体" w:hAnsi="宋体" w:cs="宋体"/>
          <w:color w:val="auto"/>
          <w:highlight w:val="none"/>
          <w:lang w:val="en-US" w:eastAsia="zh-CN"/>
        </w:rPr>
        <w:t>5</w:t>
      </w:r>
      <w:r>
        <w:rPr>
          <w:rFonts w:hint="eastAsia" w:ascii="宋体" w:hAnsi="宋体" w:cs="宋体"/>
          <w:color w:val="auto"/>
          <w:highlight w:val="none"/>
        </w:rPr>
        <w:t>，并符合表</w:t>
      </w:r>
      <w:r>
        <w:rPr>
          <w:rFonts w:hint="eastAsia" w:ascii="宋体" w:hAnsi="宋体" w:cs="宋体"/>
          <w:color w:val="auto"/>
          <w:highlight w:val="none"/>
          <w:lang w:val="en-US" w:eastAsia="zh-CN"/>
        </w:rPr>
        <w:t>A</w:t>
      </w:r>
      <w:r>
        <w:rPr>
          <w:rFonts w:hint="eastAsia" w:ascii="宋体" w:hAnsi="宋体" w:cs="宋体"/>
          <w:color w:val="auto"/>
          <w:highlight w:val="none"/>
        </w:rPr>
        <w:t>.1的规定。</w:t>
      </w:r>
    </w:p>
    <w:p w14:paraId="7FF1074C">
      <w:pPr>
        <w:jc w:val="center"/>
        <w:rPr>
          <w:color w:val="auto"/>
          <w:highlight w:val="none"/>
        </w:rPr>
      </w:pPr>
      <w:r>
        <w:rPr>
          <w:rFonts w:hint="eastAsia"/>
          <w:color w:val="auto"/>
          <w:highlight w:val="none"/>
        </w:rPr>
        <w:t>表</w:t>
      </w:r>
      <w:r>
        <w:rPr>
          <w:rFonts w:hint="eastAsia"/>
          <w:color w:val="auto"/>
          <w:highlight w:val="none"/>
          <w:lang w:val="en-US" w:eastAsia="zh-CN"/>
        </w:rPr>
        <w:t>A</w:t>
      </w:r>
      <w:r>
        <w:rPr>
          <w:rFonts w:hint="eastAsia"/>
          <w:color w:val="auto"/>
          <w:highlight w:val="none"/>
        </w:rPr>
        <w:t>.</w:t>
      </w:r>
      <w:r>
        <w:rPr>
          <w:color w:val="auto"/>
          <w:highlight w:val="none"/>
        </w:rPr>
        <w:t>1</w:t>
      </w:r>
      <w:r>
        <w:rPr>
          <w:rFonts w:hint="eastAsia"/>
          <w:color w:val="auto"/>
          <w:highlight w:val="none"/>
        </w:rPr>
        <w:t xml:space="preserve"> 小型综合管廊预制多弧涵管标准横断面尺寸及入廊管线规模表（单位：m）</w:t>
      </w:r>
    </w:p>
    <w:tbl>
      <w:tblPr>
        <w:tblStyle w:val="12"/>
        <w:tblW w:w="503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020"/>
        <w:gridCol w:w="1790"/>
        <w:gridCol w:w="1909"/>
        <w:gridCol w:w="1571"/>
        <w:gridCol w:w="1571"/>
        <w:gridCol w:w="1575"/>
      </w:tblGrid>
      <w:tr w14:paraId="2344C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6" w:hRule="atLeast"/>
          <w:jc w:val="center"/>
        </w:trPr>
        <w:tc>
          <w:tcPr>
            <w:tcW w:w="1489" w:type="pct"/>
            <w:gridSpan w:val="2"/>
            <w:vAlign w:val="center"/>
          </w:tcPr>
          <w:p w14:paraId="26A954EF">
            <w:pPr>
              <w:pStyle w:val="35"/>
              <w:rPr>
                <w:rFonts w:ascii="宋体" w:hAnsi="宋体" w:cs="宋体" w:eastAsiaTheme="minorEastAsia"/>
                <w:color w:val="auto"/>
                <w:sz w:val="21"/>
                <w:szCs w:val="21"/>
                <w:highlight w:val="none"/>
              </w:rPr>
            </w:pPr>
            <w:r>
              <w:rPr>
                <w:rFonts w:hint="eastAsia" w:ascii="宋体" w:hAnsi="宋体" w:cs="宋体" w:eastAsiaTheme="minorEastAsia"/>
                <w:color w:val="auto"/>
                <w:sz w:val="21"/>
                <w:szCs w:val="21"/>
                <w:highlight w:val="none"/>
              </w:rPr>
              <w:t>小型综合管廊规格（m）</w:t>
            </w:r>
          </w:p>
        </w:tc>
        <w:tc>
          <w:tcPr>
            <w:tcW w:w="1011" w:type="pct"/>
            <w:vAlign w:val="center"/>
          </w:tcPr>
          <w:p w14:paraId="7B4CF3A1">
            <w:pPr>
              <w:pStyle w:val="35"/>
              <w:rPr>
                <w:rFonts w:ascii="宋体" w:hAnsi="宋体" w:cs="宋体" w:eastAsiaTheme="minorEastAsia"/>
                <w:color w:val="auto"/>
                <w:sz w:val="21"/>
                <w:szCs w:val="21"/>
                <w:highlight w:val="none"/>
              </w:rPr>
            </w:pPr>
            <w:r>
              <w:rPr>
                <w:rFonts w:hint="eastAsia" w:ascii="宋体" w:hAnsi="宋体" w:cs="宋体" w:eastAsiaTheme="minorEastAsia"/>
                <w:color w:val="auto"/>
                <w:sz w:val="21"/>
                <w:szCs w:val="21"/>
                <w:highlight w:val="none"/>
              </w:rPr>
              <w:t>10</w:t>
            </w:r>
            <w:r>
              <w:rPr>
                <w:rFonts w:ascii="宋体" w:hAnsi="宋体" w:cs="宋体" w:eastAsiaTheme="minorEastAsia"/>
                <w:color w:val="auto"/>
                <w:sz w:val="21"/>
                <w:szCs w:val="21"/>
                <w:highlight w:val="none"/>
              </w:rPr>
              <w:t>k</w:t>
            </w:r>
            <w:r>
              <w:rPr>
                <w:rFonts w:hint="eastAsia" w:ascii="宋体" w:hAnsi="宋体" w:cs="宋体" w:eastAsiaTheme="minorEastAsia"/>
                <w:color w:val="auto"/>
                <w:sz w:val="21"/>
                <w:szCs w:val="21"/>
                <w:highlight w:val="none"/>
              </w:rPr>
              <w:t>V电力</w:t>
            </w:r>
          </w:p>
        </w:tc>
        <w:tc>
          <w:tcPr>
            <w:tcW w:w="832" w:type="pct"/>
            <w:vAlign w:val="center"/>
          </w:tcPr>
          <w:p w14:paraId="68A86896">
            <w:pPr>
              <w:pStyle w:val="35"/>
              <w:rPr>
                <w:rFonts w:ascii="宋体" w:hAnsi="宋体" w:cs="宋体" w:eastAsiaTheme="minorEastAsia"/>
                <w:color w:val="auto"/>
                <w:sz w:val="21"/>
                <w:szCs w:val="21"/>
                <w:highlight w:val="none"/>
              </w:rPr>
            </w:pPr>
            <w:r>
              <w:rPr>
                <w:rFonts w:hint="eastAsia" w:ascii="宋体" w:hAnsi="宋体" w:cs="宋体" w:eastAsiaTheme="minorEastAsia"/>
                <w:color w:val="auto"/>
                <w:sz w:val="21"/>
                <w:szCs w:val="21"/>
                <w:highlight w:val="none"/>
              </w:rPr>
              <w:t>通信</w:t>
            </w:r>
          </w:p>
        </w:tc>
        <w:tc>
          <w:tcPr>
            <w:tcW w:w="832" w:type="pct"/>
            <w:vAlign w:val="center"/>
          </w:tcPr>
          <w:p w14:paraId="7364A615">
            <w:pPr>
              <w:pStyle w:val="35"/>
              <w:rPr>
                <w:rFonts w:ascii="宋体" w:hAnsi="宋体" w:cs="宋体" w:eastAsiaTheme="minorEastAsia"/>
                <w:color w:val="auto"/>
                <w:sz w:val="21"/>
                <w:szCs w:val="21"/>
                <w:highlight w:val="none"/>
              </w:rPr>
            </w:pPr>
            <w:r>
              <w:rPr>
                <w:rFonts w:hint="eastAsia" w:ascii="宋体" w:hAnsi="宋体" w:cs="宋体" w:eastAsiaTheme="minorEastAsia"/>
                <w:color w:val="auto"/>
                <w:sz w:val="21"/>
                <w:szCs w:val="21"/>
                <w:highlight w:val="none"/>
              </w:rPr>
              <w:t>DN1（m</w:t>
            </w:r>
            <w:r>
              <w:rPr>
                <w:rFonts w:ascii="宋体" w:hAnsi="宋体" w:cs="宋体" w:eastAsiaTheme="minorEastAsia"/>
                <w:color w:val="auto"/>
                <w:sz w:val="21"/>
                <w:szCs w:val="21"/>
                <w:highlight w:val="none"/>
              </w:rPr>
              <w:t>m</w:t>
            </w:r>
            <w:r>
              <w:rPr>
                <w:rFonts w:hint="eastAsia" w:ascii="宋体" w:hAnsi="宋体" w:cs="宋体" w:eastAsiaTheme="minorEastAsia"/>
                <w:color w:val="auto"/>
                <w:sz w:val="21"/>
                <w:szCs w:val="21"/>
                <w:highlight w:val="none"/>
              </w:rPr>
              <w:t>）</w:t>
            </w:r>
          </w:p>
        </w:tc>
        <w:tc>
          <w:tcPr>
            <w:tcW w:w="834" w:type="pct"/>
            <w:vAlign w:val="center"/>
          </w:tcPr>
          <w:p w14:paraId="0EF8F1D5">
            <w:pPr>
              <w:pStyle w:val="35"/>
              <w:rPr>
                <w:rFonts w:ascii="宋体" w:hAnsi="宋体" w:cs="宋体" w:eastAsiaTheme="minorEastAsia"/>
                <w:color w:val="auto"/>
                <w:sz w:val="21"/>
                <w:szCs w:val="21"/>
                <w:highlight w:val="none"/>
              </w:rPr>
            </w:pPr>
            <w:r>
              <w:rPr>
                <w:rFonts w:hint="eastAsia" w:ascii="宋体" w:hAnsi="宋体" w:cs="宋体" w:eastAsiaTheme="minorEastAsia"/>
                <w:color w:val="auto"/>
                <w:sz w:val="21"/>
                <w:szCs w:val="21"/>
                <w:highlight w:val="none"/>
              </w:rPr>
              <w:t>DN2（m</w:t>
            </w:r>
            <w:r>
              <w:rPr>
                <w:rFonts w:ascii="宋体" w:hAnsi="宋体" w:cs="宋体" w:eastAsiaTheme="minorEastAsia"/>
                <w:color w:val="auto"/>
                <w:sz w:val="21"/>
                <w:szCs w:val="21"/>
                <w:highlight w:val="none"/>
              </w:rPr>
              <w:t>m</w:t>
            </w:r>
            <w:r>
              <w:rPr>
                <w:rFonts w:hint="eastAsia" w:ascii="宋体" w:hAnsi="宋体" w:cs="宋体" w:eastAsiaTheme="minorEastAsia"/>
                <w:color w:val="auto"/>
                <w:sz w:val="21"/>
                <w:szCs w:val="21"/>
                <w:highlight w:val="none"/>
              </w:rPr>
              <w:t>）</w:t>
            </w:r>
          </w:p>
        </w:tc>
      </w:tr>
      <w:tr w14:paraId="2EE78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41" w:type="pct"/>
            <w:vMerge w:val="restart"/>
            <w:vAlign w:val="center"/>
          </w:tcPr>
          <w:p w14:paraId="360BF928">
            <w:pPr>
              <w:pStyle w:val="35"/>
              <w:rPr>
                <w:rFonts w:ascii="宋体" w:hAnsi="宋体" w:cs="宋体" w:eastAsiaTheme="minorEastAsia"/>
                <w:bCs/>
                <w:color w:val="auto"/>
                <w:sz w:val="21"/>
                <w:szCs w:val="21"/>
                <w:highlight w:val="none"/>
              </w:rPr>
            </w:pPr>
            <w:r>
              <w:rPr>
                <w:rFonts w:hint="eastAsia" w:ascii="宋体" w:hAnsi="宋体" w:cs="宋体" w:eastAsiaTheme="minorEastAsia"/>
                <w:bCs/>
                <w:color w:val="auto"/>
                <w:sz w:val="21"/>
                <w:szCs w:val="21"/>
                <w:highlight w:val="none"/>
              </w:rPr>
              <w:t>A</w:t>
            </w:r>
            <w:r>
              <w:rPr>
                <w:rFonts w:ascii="宋体" w:hAnsi="宋体" w:cs="宋体" w:eastAsiaTheme="minorEastAsia"/>
                <w:bCs/>
                <w:color w:val="auto"/>
                <w:sz w:val="21"/>
                <w:szCs w:val="21"/>
                <w:highlight w:val="none"/>
              </w:rPr>
              <w:t>*B-C</w:t>
            </w:r>
          </w:p>
        </w:tc>
        <w:tc>
          <w:tcPr>
            <w:tcW w:w="948" w:type="pct"/>
            <w:shd w:val="clear" w:color="auto" w:fill="auto"/>
            <w:vAlign w:val="center"/>
          </w:tcPr>
          <w:p w14:paraId="0D4B5C6C">
            <w:pPr>
              <w:pStyle w:val="35"/>
              <w:rPr>
                <w:rFonts w:ascii="宋体" w:hAnsi="宋体" w:cs="宋体" w:eastAsiaTheme="minorEastAsia"/>
                <w:color w:val="auto"/>
                <w:kern w:val="2"/>
                <w:sz w:val="21"/>
                <w:szCs w:val="21"/>
                <w:highlight w:val="none"/>
                <w:lang w:val="en-US" w:eastAsia="zh-CN" w:bidi="ar-SA"/>
              </w:rPr>
            </w:pPr>
            <w:r>
              <w:rPr>
                <w:rFonts w:hint="eastAsia" w:ascii="宋体" w:hAnsi="宋体" w:cs="宋体" w:eastAsiaTheme="minorEastAsia"/>
                <w:color w:val="auto"/>
                <w:sz w:val="21"/>
                <w:szCs w:val="21"/>
                <w:highlight w:val="none"/>
              </w:rPr>
              <w:t>1.8*1.6-0.7</w:t>
            </w:r>
          </w:p>
        </w:tc>
        <w:tc>
          <w:tcPr>
            <w:tcW w:w="1011" w:type="pct"/>
            <w:shd w:val="clear" w:color="auto" w:fill="auto"/>
            <w:vAlign w:val="center"/>
          </w:tcPr>
          <w:p w14:paraId="7FD6F842">
            <w:pPr>
              <w:pStyle w:val="35"/>
              <w:rPr>
                <w:rFonts w:ascii="宋体" w:hAnsi="宋体" w:cs="宋体" w:eastAsiaTheme="minorEastAsia"/>
                <w:color w:val="auto"/>
                <w:kern w:val="2"/>
                <w:sz w:val="21"/>
                <w:szCs w:val="21"/>
                <w:highlight w:val="none"/>
                <w:lang w:val="en-US" w:eastAsia="zh-CN" w:bidi="ar-SA"/>
              </w:rPr>
            </w:pPr>
            <w:r>
              <w:rPr>
                <w:rFonts w:hint="eastAsia" w:ascii="宋体" w:hAnsi="宋体" w:cs="宋体" w:eastAsiaTheme="minorEastAsia"/>
                <w:color w:val="auto"/>
                <w:sz w:val="21"/>
                <w:szCs w:val="21"/>
                <w:highlight w:val="none"/>
              </w:rPr>
              <w:t>9孔</w:t>
            </w:r>
          </w:p>
        </w:tc>
        <w:tc>
          <w:tcPr>
            <w:tcW w:w="832" w:type="pct"/>
            <w:shd w:val="clear" w:color="auto" w:fill="auto"/>
            <w:vAlign w:val="center"/>
          </w:tcPr>
          <w:p w14:paraId="62F4EF2A">
            <w:pPr>
              <w:pStyle w:val="35"/>
              <w:rPr>
                <w:rFonts w:ascii="宋体" w:hAnsi="宋体" w:cs="宋体" w:eastAsiaTheme="minorEastAsia"/>
                <w:color w:val="auto"/>
                <w:kern w:val="2"/>
                <w:sz w:val="21"/>
                <w:szCs w:val="21"/>
                <w:highlight w:val="none"/>
                <w:lang w:val="en-US" w:eastAsia="zh-CN" w:bidi="ar-SA"/>
              </w:rPr>
            </w:pPr>
            <w:r>
              <w:rPr>
                <w:rFonts w:hint="eastAsia" w:ascii="宋体" w:hAnsi="宋体" w:cs="宋体" w:eastAsiaTheme="minorEastAsia"/>
                <w:color w:val="auto"/>
                <w:sz w:val="21"/>
                <w:szCs w:val="21"/>
                <w:highlight w:val="none"/>
              </w:rPr>
              <w:t>12孔</w:t>
            </w:r>
          </w:p>
        </w:tc>
        <w:tc>
          <w:tcPr>
            <w:tcW w:w="832" w:type="pct"/>
            <w:shd w:val="clear" w:color="auto" w:fill="auto"/>
            <w:vAlign w:val="center"/>
          </w:tcPr>
          <w:p w14:paraId="2FD245D4">
            <w:pPr>
              <w:pStyle w:val="35"/>
              <w:rPr>
                <w:rFonts w:ascii="宋体" w:hAnsi="宋体" w:cs="宋体" w:eastAsiaTheme="minorEastAsia"/>
                <w:color w:val="auto"/>
                <w:kern w:val="2"/>
                <w:sz w:val="21"/>
                <w:szCs w:val="21"/>
                <w:highlight w:val="none"/>
                <w:lang w:val="en-US" w:eastAsia="zh-CN" w:bidi="ar-SA"/>
              </w:rPr>
            </w:pPr>
            <w:r>
              <w:rPr>
                <w:rFonts w:hint="eastAsia" w:ascii="宋体" w:hAnsi="宋体" w:cs="宋体" w:eastAsiaTheme="minorEastAsia"/>
                <w:color w:val="auto"/>
                <w:sz w:val="21"/>
                <w:szCs w:val="21"/>
                <w:highlight w:val="none"/>
              </w:rPr>
              <w:t>DN300</w:t>
            </w:r>
          </w:p>
        </w:tc>
        <w:tc>
          <w:tcPr>
            <w:tcW w:w="834" w:type="pct"/>
            <w:shd w:val="clear" w:color="auto" w:fill="auto"/>
            <w:vAlign w:val="top"/>
          </w:tcPr>
          <w:p w14:paraId="5E95AEB5">
            <w:pPr>
              <w:pStyle w:val="35"/>
              <w:rPr>
                <w:rFonts w:ascii="宋体" w:hAnsi="宋体" w:cs="宋体" w:eastAsiaTheme="minorEastAsia"/>
                <w:color w:val="auto"/>
                <w:kern w:val="2"/>
                <w:sz w:val="21"/>
                <w:szCs w:val="21"/>
                <w:highlight w:val="none"/>
                <w:lang w:val="en-US" w:eastAsia="zh-CN" w:bidi="ar-SA"/>
              </w:rPr>
            </w:pPr>
            <w:r>
              <w:rPr>
                <w:rFonts w:hint="eastAsia" w:ascii="宋体" w:hAnsi="宋体" w:cs="宋体" w:eastAsiaTheme="minorEastAsia"/>
                <w:color w:val="auto"/>
                <w:sz w:val="21"/>
                <w:szCs w:val="21"/>
                <w:highlight w:val="none"/>
              </w:rPr>
              <w:t>DN150</w:t>
            </w:r>
          </w:p>
        </w:tc>
      </w:tr>
      <w:tr w14:paraId="31BA8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7" w:hRule="atLeast"/>
          <w:jc w:val="center"/>
        </w:trPr>
        <w:tc>
          <w:tcPr>
            <w:tcW w:w="541" w:type="pct"/>
            <w:vMerge w:val="continue"/>
            <w:vAlign w:val="center"/>
          </w:tcPr>
          <w:p w14:paraId="68AC998E">
            <w:pPr>
              <w:pStyle w:val="35"/>
              <w:rPr>
                <w:rFonts w:ascii="宋体" w:hAnsi="宋体" w:cs="宋体" w:eastAsiaTheme="minorEastAsia"/>
                <w:b/>
                <w:bCs/>
                <w:color w:val="auto"/>
                <w:sz w:val="21"/>
                <w:szCs w:val="21"/>
                <w:highlight w:val="none"/>
              </w:rPr>
            </w:pPr>
          </w:p>
        </w:tc>
        <w:tc>
          <w:tcPr>
            <w:tcW w:w="948" w:type="pct"/>
            <w:shd w:val="clear" w:color="auto" w:fill="auto"/>
            <w:vAlign w:val="center"/>
          </w:tcPr>
          <w:p w14:paraId="18C094A6">
            <w:pPr>
              <w:pStyle w:val="35"/>
              <w:rPr>
                <w:rFonts w:ascii="宋体" w:hAnsi="宋体" w:cs="宋体" w:eastAsiaTheme="minorEastAsia"/>
                <w:color w:val="auto"/>
                <w:kern w:val="2"/>
                <w:sz w:val="21"/>
                <w:szCs w:val="21"/>
                <w:highlight w:val="none"/>
                <w:lang w:val="en-US" w:eastAsia="zh-CN" w:bidi="ar-SA"/>
              </w:rPr>
            </w:pPr>
            <w:r>
              <w:rPr>
                <w:rFonts w:hint="eastAsia" w:ascii="宋体" w:hAnsi="宋体" w:cs="宋体" w:eastAsiaTheme="minorEastAsia"/>
                <w:color w:val="auto"/>
                <w:sz w:val="21"/>
                <w:szCs w:val="21"/>
                <w:highlight w:val="none"/>
              </w:rPr>
              <w:t>2.0*1.6-0.7</w:t>
            </w:r>
          </w:p>
        </w:tc>
        <w:tc>
          <w:tcPr>
            <w:tcW w:w="1011" w:type="pct"/>
            <w:shd w:val="clear" w:color="auto" w:fill="auto"/>
            <w:vAlign w:val="center"/>
          </w:tcPr>
          <w:p w14:paraId="43014454">
            <w:pPr>
              <w:pStyle w:val="35"/>
              <w:rPr>
                <w:rFonts w:ascii="宋体" w:hAnsi="宋体" w:cs="宋体" w:eastAsiaTheme="minorEastAsia"/>
                <w:color w:val="auto"/>
                <w:kern w:val="2"/>
                <w:sz w:val="21"/>
                <w:szCs w:val="21"/>
                <w:highlight w:val="none"/>
                <w:lang w:val="en-US" w:eastAsia="zh-CN" w:bidi="ar-SA"/>
              </w:rPr>
            </w:pPr>
            <w:r>
              <w:rPr>
                <w:rFonts w:hint="eastAsia" w:ascii="宋体" w:hAnsi="宋体" w:cs="宋体" w:eastAsiaTheme="minorEastAsia"/>
                <w:color w:val="auto"/>
                <w:sz w:val="21"/>
                <w:szCs w:val="21"/>
                <w:highlight w:val="none"/>
              </w:rPr>
              <w:t>12孔</w:t>
            </w:r>
          </w:p>
        </w:tc>
        <w:tc>
          <w:tcPr>
            <w:tcW w:w="832" w:type="pct"/>
            <w:shd w:val="clear" w:color="auto" w:fill="auto"/>
            <w:vAlign w:val="center"/>
          </w:tcPr>
          <w:p w14:paraId="2FC047CB">
            <w:pPr>
              <w:pStyle w:val="35"/>
              <w:rPr>
                <w:rFonts w:ascii="宋体" w:hAnsi="宋体" w:cs="宋体" w:eastAsiaTheme="minorEastAsia"/>
                <w:color w:val="auto"/>
                <w:kern w:val="2"/>
                <w:sz w:val="21"/>
                <w:szCs w:val="21"/>
                <w:highlight w:val="none"/>
                <w:lang w:val="en-US" w:eastAsia="zh-CN" w:bidi="ar-SA"/>
              </w:rPr>
            </w:pPr>
            <w:r>
              <w:rPr>
                <w:rFonts w:hint="eastAsia" w:ascii="宋体" w:hAnsi="宋体" w:cs="宋体" w:eastAsiaTheme="minorEastAsia"/>
                <w:color w:val="auto"/>
                <w:sz w:val="21"/>
                <w:szCs w:val="21"/>
                <w:highlight w:val="none"/>
              </w:rPr>
              <w:t>12孔</w:t>
            </w:r>
          </w:p>
        </w:tc>
        <w:tc>
          <w:tcPr>
            <w:tcW w:w="832" w:type="pct"/>
            <w:shd w:val="clear" w:color="auto" w:fill="auto"/>
            <w:vAlign w:val="center"/>
          </w:tcPr>
          <w:p w14:paraId="318D9788">
            <w:pPr>
              <w:pStyle w:val="35"/>
              <w:rPr>
                <w:rFonts w:ascii="宋体" w:hAnsi="宋体" w:cs="宋体" w:eastAsiaTheme="minorEastAsia"/>
                <w:color w:val="auto"/>
                <w:kern w:val="2"/>
                <w:sz w:val="21"/>
                <w:szCs w:val="21"/>
                <w:highlight w:val="none"/>
                <w:lang w:val="en-US" w:eastAsia="zh-CN" w:bidi="ar-SA"/>
              </w:rPr>
            </w:pPr>
            <w:r>
              <w:rPr>
                <w:rFonts w:hint="eastAsia" w:ascii="宋体" w:hAnsi="宋体" w:cs="宋体" w:eastAsiaTheme="minorEastAsia"/>
                <w:color w:val="auto"/>
                <w:sz w:val="21"/>
                <w:szCs w:val="21"/>
                <w:highlight w:val="none"/>
              </w:rPr>
              <w:t>DN300</w:t>
            </w:r>
          </w:p>
        </w:tc>
        <w:tc>
          <w:tcPr>
            <w:tcW w:w="834" w:type="pct"/>
            <w:shd w:val="clear" w:color="auto" w:fill="auto"/>
            <w:vAlign w:val="top"/>
          </w:tcPr>
          <w:p w14:paraId="13256AB6">
            <w:pPr>
              <w:pStyle w:val="35"/>
              <w:rPr>
                <w:rFonts w:ascii="宋体" w:hAnsi="宋体" w:cs="宋体" w:eastAsiaTheme="minorEastAsia"/>
                <w:color w:val="auto"/>
                <w:kern w:val="2"/>
                <w:sz w:val="21"/>
                <w:szCs w:val="21"/>
                <w:highlight w:val="none"/>
                <w:lang w:val="en-US" w:eastAsia="zh-CN" w:bidi="ar-SA"/>
              </w:rPr>
            </w:pPr>
            <w:r>
              <w:rPr>
                <w:rFonts w:hint="eastAsia" w:ascii="宋体" w:hAnsi="宋体" w:cs="宋体" w:eastAsiaTheme="minorEastAsia"/>
                <w:color w:val="auto"/>
                <w:sz w:val="21"/>
                <w:szCs w:val="21"/>
                <w:highlight w:val="none"/>
              </w:rPr>
              <w:t>DN150</w:t>
            </w:r>
          </w:p>
        </w:tc>
      </w:tr>
      <w:tr w14:paraId="12212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41" w:type="pct"/>
            <w:vMerge w:val="continue"/>
            <w:vAlign w:val="center"/>
          </w:tcPr>
          <w:p w14:paraId="499AECB9">
            <w:pPr>
              <w:pStyle w:val="35"/>
              <w:rPr>
                <w:rFonts w:ascii="宋体" w:hAnsi="宋体" w:cs="宋体" w:eastAsiaTheme="minorEastAsia"/>
                <w:b/>
                <w:bCs/>
                <w:color w:val="auto"/>
                <w:sz w:val="21"/>
                <w:szCs w:val="21"/>
                <w:highlight w:val="none"/>
              </w:rPr>
            </w:pPr>
          </w:p>
        </w:tc>
        <w:tc>
          <w:tcPr>
            <w:tcW w:w="948" w:type="pct"/>
            <w:shd w:val="clear" w:color="auto" w:fill="auto"/>
            <w:vAlign w:val="center"/>
          </w:tcPr>
          <w:p w14:paraId="14BECFDD">
            <w:pPr>
              <w:pStyle w:val="35"/>
              <w:rPr>
                <w:rFonts w:ascii="宋体" w:hAnsi="宋体" w:cs="宋体" w:eastAsiaTheme="minorEastAsia"/>
                <w:color w:val="auto"/>
                <w:kern w:val="2"/>
                <w:sz w:val="21"/>
                <w:szCs w:val="21"/>
                <w:highlight w:val="none"/>
                <w:lang w:val="en-US" w:eastAsia="zh-CN" w:bidi="ar-SA"/>
              </w:rPr>
            </w:pPr>
            <w:r>
              <w:rPr>
                <w:rFonts w:hint="eastAsia" w:ascii="宋体" w:hAnsi="宋体" w:cs="宋体" w:eastAsiaTheme="minorEastAsia"/>
                <w:color w:val="auto"/>
                <w:sz w:val="21"/>
                <w:szCs w:val="21"/>
                <w:highlight w:val="none"/>
              </w:rPr>
              <w:t>1.8*1.8-0.7</w:t>
            </w:r>
          </w:p>
        </w:tc>
        <w:tc>
          <w:tcPr>
            <w:tcW w:w="1011" w:type="pct"/>
            <w:shd w:val="clear" w:color="auto" w:fill="auto"/>
            <w:vAlign w:val="center"/>
          </w:tcPr>
          <w:p w14:paraId="5DC7451B">
            <w:pPr>
              <w:pStyle w:val="35"/>
              <w:rPr>
                <w:rFonts w:ascii="宋体" w:hAnsi="宋体" w:cs="宋体" w:eastAsiaTheme="minorEastAsia"/>
                <w:color w:val="auto"/>
                <w:kern w:val="2"/>
                <w:sz w:val="21"/>
                <w:szCs w:val="21"/>
                <w:highlight w:val="none"/>
                <w:lang w:val="en-US" w:eastAsia="zh-CN" w:bidi="ar-SA"/>
              </w:rPr>
            </w:pPr>
            <w:r>
              <w:rPr>
                <w:rFonts w:hint="eastAsia" w:ascii="宋体" w:hAnsi="宋体" w:cs="宋体" w:eastAsiaTheme="minorEastAsia"/>
                <w:color w:val="auto"/>
                <w:sz w:val="21"/>
                <w:szCs w:val="21"/>
                <w:highlight w:val="none"/>
              </w:rPr>
              <w:t>12孔</w:t>
            </w:r>
          </w:p>
        </w:tc>
        <w:tc>
          <w:tcPr>
            <w:tcW w:w="832" w:type="pct"/>
            <w:shd w:val="clear" w:color="auto" w:fill="auto"/>
            <w:vAlign w:val="center"/>
          </w:tcPr>
          <w:p w14:paraId="53067056">
            <w:pPr>
              <w:pStyle w:val="35"/>
              <w:rPr>
                <w:rFonts w:ascii="宋体" w:hAnsi="宋体" w:cs="宋体" w:eastAsiaTheme="minorEastAsia"/>
                <w:color w:val="auto"/>
                <w:kern w:val="2"/>
                <w:sz w:val="21"/>
                <w:szCs w:val="21"/>
                <w:highlight w:val="none"/>
                <w:lang w:val="en-US" w:eastAsia="zh-CN" w:bidi="ar-SA"/>
              </w:rPr>
            </w:pPr>
            <w:r>
              <w:rPr>
                <w:rFonts w:hint="eastAsia" w:ascii="宋体" w:hAnsi="宋体" w:cs="宋体" w:eastAsiaTheme="minorEastAsia"/>
                <w:color w:val="auto"/>
                <w:sz w:val="21"/>
                <w:szCs w:val="21"/>
                <w:highlight w:val="none"/>
              </w:rPr>
              <w:t>12孔</w:t>
            </w:r>
          </w:p>
        </w:tc>
        <w:tc>
          <w:tcPr>
            <w:tcW w:w="832" w:type="pct"/>
            <w:shd w:val="clear" w:color="auto" w:fill="auto"/>
            <w:vAlign w:val="center"/>
          </w:tcPr>
          <w:p w14:paraId="0B55767C">
            <w:pPr>
              <w:pStyle w:val="35"/>
              <w:rPr>
                <w:rFonts w:ascii="宋体" w:hAnsi="宋体" w:cs="宋体" w:eastAsiaTheme="minorEastAsia"/>
                <w:color w:val="auto"/>
                <w:kern w:val="2"/>
                <w:sz w:val="21"/>
                <w:szCs w:val="21"/>
                <w:highlight w:val="none"/>
                <w:lang w:val="en-US" w:eastAsia="zh-CN" w:bidi="ar-SA"/>
              </w:rPr>
            </w:pPr>
            <w:r>
              <w:rPr>
                <w:rFonts w:hint="eastAsia" w:ascii="宋体" w:hAnsi="宋体" w:cs="宋体" w:eastAsiaTheme="minorEastAsia"/>
                <w:color w:val="auto"/>
                <w:sz w:val="21"/>
                <w:szCs w:val="21"/>
                <w:highlight w:val="none"/>
              </w:rPr>
              <w:t>DN</w:t>
            </w:r>
            <w:r>
              <w:rPr>
                <w:rFonts w:ascii="宋体" w:hAnsi="宋体" w:cs="宋体" w:eastAsiaTheme="minorEastAsia"/>
                <w:color w:val="auto"/>
                <w:sz w:val="21"/>
                <w:szCs w:val="21"/>
                <w:highlight w:val="none"/>
              </w:rPr>
              <w:t>250</w:t>
            </w:r>
          </w:p>
        </w:tc>
        <w:tc>
          <w:tcPr>
            <w:tcW w:w="834" w:type="pct"/>
            <w:shd w:val="clear" w:color="auto" w:fill="auto"/>
            <w:vAlign w:val="center"/>
          </w:tcPr>
          <w:p w14:paraId="48243747">
            <w:pPr>
              <w:pStyle w:val="35"/>
              <w:rPr>
                <w:rFonts w:ascii="宋体" w:hAnsi="宋体" w:cs="宋体" w:eastAsiaTheme="minorEastAsia"/>
                <w:color w:val="auto"/>
                <w:kern w:val="2"/>
                <w:sz w:val="21"/>
                <w:szCs w:val="21"/>
                <w:highlight w:val="none"/>
                <w:lang w:val="en-US" w:eastAsia="zh-CN" w:bidi="ar-SA"/>
              </w:rPr>
            </w:pPr>
            <w:r>
              <w:rPr>
                <w:rFonts w:hint="eastAsia" w:ascii="宋体" w:hAnsi="宋体" w:cs="宋体" w:eastAsiaTheme="minorEastAsia"/>
                <w:color w:val="auto"/>
                <w:sz w:val="21"/>
                <w:szCs w:val="21"/>
                <w:highlight w:val="none"/>
              </w:rPr>
              <w:t>DN200</w:t>
            </w:r>
          </w:p>
        </w:tc>
      </w:tr>
      <w:tr w14:paraId="06A50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41" w:type="pct"/>
            <w:vMerge w:val="continue"/>
            <w:vAlign w:val="center"/>
          </w:tcPr>
          <w:p w14:paraId="46DC671C">
            <w:pPr>
              <w:pStyle w:val="35"/>
              <w:rPr>
                <w:rFonts w:ascii="宋体" w:hAnsi="宋体" w:cs="宋体" w:eastAsiaTheme="minorEastAsia"/>
                <w:b/>
                <w:bCs/>
                <w:color w:val="auto"/>
                <w:sz w:val="21"/>
                <w:szCs w:val="21"/>
                <w:highlight w:val="none"/>
              </w:rPr>
            </w:pPr>
          </w:p>
        </w:tc>
        <w:tc>
          <w:tcPr>
            <w:tcW w:w="948" w:type="pct"/>
            <w:shd w:val="clear" w:color="auto" w:fill="auto"/>
            <w:vAlign w:val="center"/>
          </w:tcPr>
          <w:p w14:paraId="4A088CC1">
            <w:pPr>
              <w:pStyle w:val="35"/>
              <w:rPr>
                <w:rFonts w:ascii="宋体" w:hAnsi="宋体" w:cs="宋体" w:eastAsiaTheme="minorEastAsia"/>
                <w:color w:val="auto"/>
                <w:kern w:val="2"/>
                <w:sz w:val="21"/>
                <w:szCs w:val="21"/>
                <w:highlight w:val="none"/>
                <w:lang w:val="en-US" w:eastAsia="zh-CN" w:bidi="ar-SA"/>
              </w:rPr>
            </w:pPr>
            <w:r>
              <w:rPr>
                <w:rFonts w:hint="eastAsia" w:ascii="宋体" w:hAnsi="宋体" w:cs="宋体" w:eastAsiaTheme="minorEastAsia"/>
                <w:color w:val="auto"/>
                <w:sz w:val="21"/>
                <w:szCs w:val="21"/>
                <w:highlight w:val="none"/>
              </w:rPr>
              <w:t>2.0*1.8-0.7</w:t>
            </w:r>
          </w:p>
        </w:tc>
        <w:tc>
          <w:tcPr>
            <w:tcW w:w="1011" w:type="pct"/>
            <w:shd w:val="clear" w:color="auto" w:fill="auto"/>
            <w:vAlign w:val="center"/>
          </w:tcPr>
          <w:p w14:paraId="342A5728">
            <w:pPr>
              <w:pStyle w:val="35"/>
              <w:rPr>
                <w:rFonts w:ascii="宋体" w:hAnsi="宋体" w:cs="宋体" w:eastAsiaTheme="minorEastAsia"/>
                <w:color w:val="auto"/>
                <w:kern w:val="2"/>
                <w:sz w:val="21"/>
                <w:szCs w:val="21"/>
                <w:highlight w:val="none"/>
                <w:lang w:val="en-US" w:eastAsia="zh-CN" w:bidi="ar-SA"/>
              </w:rPr>
            </w:pPr>
            <w:r>
              <w:rPr>
                <w:rFonts w:hint="eastAsia" w:ascii="宋体" w:hAnsi="宋体" w:cs="宋体" w:eastAsiaTheme="minorEastAsia"/>
                <w:color w:val="auto"/>
                <w:sz w:val="21"/>
                <w:szCs w:val="21"/>
                <w:highlight w:val="none"/>
              </w:rPr>
              <w:t>16孔</w:t>
            </w:r>
          </w:p>
        </w:tc>
        <w:tc>
          <w:tcPr>
            <w:tcW w:w="832" w:type="pct"/>
            <w:shd w:val="clear" w:color="auto" w:fill="auto"/>
            <w:vAlign w:val="center"/>
          </w:tcPr>
          <w:p w14:paraId="05AB3CAB">
            <w:pPr>
              <w:pStyle w:val="35"/>
              <w:rPr>
                <w:rFonts w:ascii="宋体" w:hAnsi="宋体" w:cs="宋体" w:eastAsiaTheme="minorEastAsia"/>
                <w:color w:val="auto"/>
                <w:kern w:val="2"/>
                <w:sz w:val="21"/>
                <w:szCs w:val="21"/>
                <w:highlight w:val="none"/>
                <w:lang w:val="en-US" w:eastAsia="zh-CN" w:bidi="ar-SA"/>
              </w:rPr>
            </w:pPr>
            <w:r>
              <w:rPr>
                <w:rFonts w:hint="eastAsia" w:ascii="宋体" w:hAnsi="宋体" w:cs="宋体" w:eastAsiaTheme="minorEastAsia"/>
                <w:color w:val="auto"/>
                <w:sz w:val="21"/>
                <w:szCs w:val="21"/>
                <w:highlight w:val="none"/>
              </w:rPr>
              <w:t>12孔</w:t>
            </w:r>
          </w:p>
        </w:tc>
        <w:tc>
          <w:tcPr>
            <w:tcW w:w="832" w:type="pct"/>
            <w:shd w:val="clear" w:color="auto" w:fill="auto"/>
            <w:vAlign w:val="center"/>
          </w:tcPr>
          <w:p w14:paraId="733CAAF2">
            <w:pPr>
              <w:pStyle w:val="35"/>
              <w:rPr>
                <w:rFonts w:ascii="宋体" w:hAnsi="宋体" w:cs="宋体" w:eastAsiaTheme="minorEastAsia"/>
                <w:color w:val="auto"/>
                <w:kern w:val="2"/>
                <w:sz w:val="21"/>
                <w:szCs w:val="21"/>
                <w:highlight w:val="none"/>
                <w:lang w:val="en-US" w:eastAsia="zh-CN" w:bidi="ar-SA"/>
              </w:rPr>
            </w:pPr>
            <w:r>
              <w:rPr>
                <w:rFonts w:hint="eastAsia" w:ascii="宋体" w:hAnsi="宋体" w:cs="宋体" w:eastAsiaTheme="minorEastAsia"/>
                <w:color w:val="auto"/>
                <w:sz w:val="21"/>
                <w:szCs w:val="21"/>
                <w:highlight w:val="none"/>
              </w:rPr>
              <w:t>DN</w:t>
            </w:r>
            <w:r>
              <w:rPr>
                <w:rFonts w:ascii="宋体" w:hAnsi="宋体" w:cs="宋体" w:eastAsiaTheme="minorEastAsia"/>
                <w:color w:val="auto"/>
                <w:sz w:val="21"/>
                <w:szCs w:val="21"/>
                <w:highlight w:val="none"/>
              </w:rPr>
              <w:t>250</w:t>
            </w:r>
          </w:p>
        </w:tc>
        <w:tc>
          <w:tcPr>
            <w:tcW w:w="834" w:type="pct"/>
            <w:shd w:val="clear" w:color="auto" w:fill="auto"/>
            <w:vAlign w:val="center"/>
          </w:tcPr>
          <w:p w14:paraId="7BA67F4B">
            <w:pPr>
              <w:pStyle w:val="35"/>
              <w:rPr>
                <w:rFonts w:ascii="宋体" w:hAnsi="宋体" w:cs="宋体" w:eastAsiaTheme="minorEastAsia"/>
                <w:color w:val="auto"/>
                <w:kern w:val="2"/>
                <w:sz w:val="21"/>
                <w:szCs w:val="21"/>
                <w:highlight w:val="none"/>
                <w:lang w:val="en-US" w:eastAsia="zh-CN" w:bidi="ar-SA"/>
              </w:rPr>
            </w:pPr>
            <w:r>
              <w:rPr>
                <w:rFonts w:hint="eastAsia" w:ascii="宋体" w:hAnsi="宋体" w:cs="宋体" w:eastAsiaTheme="minorEastAsia"/>
                <w:color w:val="auto"/>
                <w:sz w:val="21"/>
                <w:szCs w:val="21"/>
                <w:highlight w:val="none"/>
              </w:rPr>
              <w:t>DN200</w:t>
            </w:r>
          </w:p>
        </w:tc>
      </w:tr>
      <w:tr w14:paraId="220B5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41" w:type="pct"/>
            <w:vMerge w:val="continue"/>
            <w:vAlign w:val="center"/>
          </w:tcPr>
          <w:p w14:paraId="6D1FDE31">
            <w:pPr>
              <w:pStyle w:val="35"/>
              <w:rPr>
                <w:rFonts w:ascii="宋体" w:hAnsi="宋体" w:cs="宋体" w:eastAsiaTheme="minorEastAsia"/>
                <w:b/>
                <w:bCs/>
                <w:color w:val="auto"/>
                <w:sz w:val="21"/>
                <w:szCs w:val="21"/>
                <w:highlight w:val="none"/>
              </w:rPr>
            </w:pPr>
          </w:p>
        </w:tc>
        <w:tc>
          <w:tcPr>
            <w:tcW w:w="948" w:type="pct"/>
            <w:shd w:val="clear" w:color="auto" w:fill="auto"/>
            <w:vAlign w:val="center"/>
          </w:tcPr>
          <w:p w14:paraId="34DABEFB">
            <w:pPr>
              <w:pStyle w:val="35"/>
              <w:rPr>
                <w:rFonts w:ascii="宋体" w:hAnsi="宋体" w:cs="宋体" w:eastAsiaTheme="minorEastAsia"/>
                <w:color w:val="auto"/>
                <w:sz w:val="21"/>
                <w:szCs w:val="21"/>
                <w:highlight w:val="none"/>
              </w:rPr>
            </w:pPr>
            <w:r>
              <w:rPr>
                <w:rFonts w:hint="eastAsia" w:ascii="宋体" w:hAnsi="宋体" w:cs="宋体" w:eastAsiaTheme="minorEastAsia"/>
                <w:color w:val="auto"/>
                <w:sz w:val="21"/>
                <w:szCs w:val="21"/>
                <w:highlight w:val="none"/>
              </w:rPr>
              <w:t>2.4*2.1-0.8</w:t>
            </w:r>
          </w:p>
        </w:tc>
        <w:tc>
          <w:tcPr>
            <w:tcW w:w="1011" w:type="pct"/>
            <w:shd w:val="clear" w:color="auto" w:fill="auto"/>
            <w:vAlign w:val="center"/>
          </w:tcPr>
          <w:p w14:paraId="2D86FC36">
            <w:pPr>
              <w:pStyle w:val="35"/>
              <w:rPr>
                <w:rFonts w:ascii="宋体" w:hAnsi="宋体" w:cs="宋体" w:eastAsiaTheme="minorEastAsia"/>
                <w:color w:val="auto"/>
                <w:sz w:val="21"/>
                <w:szCs w:val="21"/>
                <w:highlight w:val="none"/>
              </w:rPr>
            </w:pPr>
            <w:r>
              <w:rPr>
                <w:rFonts w:hint="eastAsia" w:ascii="宋体" w:hAnsi="宋体" w:cs="宋体" w:eastAsiaTheme="minorEastAsia"/>
                <w:color w:val="auto"/>
                <w:sz w:val="21"/>
                <w:szCs w:val="21"/>
                <w:highlight w:val="none"/>
              </w:rPr>
              <w:t>16孔</w:t>
            </w:r>
          </w:p>
        </w:tc>
        <w:tc>
          <w:tcPr>
            <w:tcW w:w="832" w:type="pct"/>
            <w:shd w:val="clear" w:color="auto" w:fill="auto"/>
            <w:vAlign w:val="center"/>
          </w:tcPr>
          <w:p w14:paraId="3F5A423B">
            <w:pPr>
              <w:pStyle w:val="35"/>
              <w:rPr>
                <w:rFonts w:ascii="宋体" w:hAnsi="宋体" w:cs="宋体" w:eastAsiaTheme="minorEastAsia"/>
                <w:color w:val="auto"/>
                <w:sz w:val="21"/>
                <w:szCs w:val="21"/>
                <w:highlight w:val="none"/>
              </w:rPr>
            </w:pPr>
            <w:r>
              <w:rPr>
                <w:rFonts w:hint="eastAsia" w:ascii="宋体" w:hAnsi="宋体" w:cs="宋体" w:eastAsiaTheme="minorEastAsia"/>
                <w:color w:val="auto"/>
                <w:sz w:val="21"/>
                <w:szCs w:val="21"/>
                <w:highlight w:val="none"/>
              </w:rPr>
              <w:t>15孔</w:t>
            </w:r>
          </w:p>
        </w:tc>
        <w:tc>
          <w:tcPr>
            <w:tcW w:w="832" w:type="pct"/>
            <w:shd w:val="clear" w:color="auto" w:fill="auto"/>
            <w:vAlign w:val="center"/>
          </w:tcPr>
          <w:p w14:paraId="0936063E">
            <w:pPr>
              <w:pStyle w:val="35"/>
              <w:rPr>
                <w:rFonts w:ascii="宋体" w:hAnsi="宋体" w:cs="宋体" w:eastAsiaTheme="minorEastAsia"/>
                <w:color w:val="auto"/>
                <w:sz w:val="21"/>
                <w:szCs w:val="21"/>
                <w:highlight w:val="none"/>
              </w:rPr>
            </w:pPr>
            <w:r>
              <w:rPr>
                <w:rFonts w:hint="eastAsia" w:ascii="宋体" w:hAnsi="宋体" w:cs="宋体" w:eastAsiaTheme="minorEastAsia"/>
                <w:color w:val="auto"/>
                <w:sz w:val="21"/>
                <w:szCs w:val="21"/>
                <w:highlight w:val="none"/>
              </w:rPr>
              <w:t>DN500</w:t>
            </w:r>
          </w:p>
        </w:tc>
        <w:tc>
          <w:tcPr>
            <w:tcW w:w="834" w:type="pct"/>
            <w:shd w:val="clear" w:color="auto" w:fill="auto"/>
            <w:vAlign w:val="center"/>
          </w:tcPr>
          <w:p w14:paraId="03511B34">
            <w:pPr>
              <w:pStyle w:val="35"/>
              <w:rPr>
                <w:rFonts w:ascii="宋体" w:hAnsi="宋体" w:cs="宋体" w:eastAsiaTheme="minorEastAsia"/>
                <w:color w:val="auto"/>
                <w:sz w:val="21"/>
                <w:szCs w:val="21"/>
                <w:highlight w:val="none"/>
              </w:rPr>
            </w:pPr>
            <w:r>
              <w:rPr>
                <w:rFonts w:hint="eastAsia" w:ascii="宋体" w:hAnsi="宋体" w:cs="宋体" w:eastAsiaTheme="minorEastAsia"/>
                <w:color w:val="auto"/>
                <w:sz w:val="21"/>
                <w:szCs w:val="21"/>
                <w:highlight w:val="none"/>
              </w:rPr>
              <w:t>DN300</w:t>
            </w:r>
          </w:p>
        </w:tc>
      </w:tr>
    </w:tbl>
    <w:p w14:paraId="45A5FD34">
      <w:pPr>
        <w:spacing w:line="360" w:lineRule="auto"/>
        <w:rPr>
          <w:rFonts w:ascii="Times New Roman" w:hAnsi="Times New Roman" w:eastAsiaTheme="minorEastAsia"/>
          <w:color w:val="auto"/>
          <w:szCs w:val="24"/>
          <w:highlight w:val="none"/>
        </w:rPr>
      </w:pPr>
      <w:r>
        <w:rPr>
          <w:rFonts w:hint="eastAsia" w:ascii="Times New Roman" w:hAnsi="Times New Roman" w:eastAsiaTheme="minorEastAsia"/>
          <w:color w:val="auto"/>
          <w:szCs w:val="24"/>
          <w:highlight w:val="none"/>
        </w:rPr>
        <w:t>注：1</w:t>
      </w:r>
      <w:r>
        <w:rPr>
          <w:rFonts w:ascii="Times New Roman" w:hAnsi="Times New Roman" w:eastAsiaTheme="minorEastAsia"/>
          <w:color w:val="auto"/>
          <w:szCs w:val="24"/>
          <w:highlight w:val="none"/>
        </w:rPr>
        <w:t>. A</w:t>
      </w:r>
      <w:r>
        <w:rPr>
          <w:rFonts w:hint="eastAsia" w:ascii="Times New Roman" w:hAnsi="Times New Roman" w:eastAsiaTheme="minorEastAsia"/>
          <w:color w:val="auto"/>
          <w:szCs w:val="24"/>
          <w:highlight w:val="none"/>
        </w:rPr>
        <w:t>为</w:t>
      </w:r>
      <w:r>
        <w:rPr>
          <w:rFonts w:hint="eastAsia" w:ascii="Times New Roman" w:hAnsi="Times New Roman" w:eastAsiaTheme="minorEastAsia"/>
          <w:color w:val="auto"/>
          <w:szCs w:val="24"/>
          <w:highlight w:val="none"/>
          <w:lang w:val="en-US" w:eastAsia="zh-CN"/>
        </w:rPr>
        <w:t>小型</w:t>
      </w:r>
      <w:r>
        <w:rPr>
          <w:rFonts w:hint="eastAsia" w:ascii="Times New Roman" w:hAnsi="Times New Roman" w:eastAsiaTheme="minorEastAsia"/>
          <w:color w:val="auto"/>
          <w:szCs w:val="24"/>
          <w:highlight w:val="none"/>
        </w:rPr>
        <w:t>管廊净宽；</w:t>
      </w:r>
      <w:r>
        <w:rPr>
          <w:rFonts w:ascii="Times New Roman" w:hAnsi="Times New Roman" w:eastAsiaTheme="minorEastAsia"/>
          <w:color w:val="auto"/>
          <w:szCs w:val="24"/>
          <w:highlight w:val="none"/>
        </w:rPr>
        <w:t>B</w:t>
      </w:r>
      <w:r>
        <w:rPr>
          <w:rFonts w:hint="eastAsia" w:ascii="Times New Roman" w:hAnsi="Times New Roman" w:eastAsiaTheme="minorEastAsia"/>
          <w:color w:val="auto"/>
          <w:szCs w:val="24"/>
          <w:highlight w:val="none"/>
        </w:rPr>
        <w:t>为</w:t>
      </w:r>
      <w:r>
        <w:rPr>
          <w:rFonts w:hint="eastAsia" w:ascii="Times New Roman" w:hAnsi="Times New Roman" w:eastAsiaTheme="minorEastAsia"/>
          <w:color w:val="auto"/>
          <w:szCs w:val="24"/>
          <w:highlight w:val="none"/>
          <w:lang w:val="en-US" w:eastAsia="zh-CN"/>
        </w:rPr>
        <w:t>小型</w:t>
      </w:r>
      <w:r>
        <w:rPr>
          <w:rFonts w:hint="eastAsia" w:ascii="Times New Roman" w:hAnsi="Times New Roman" w:eastAsiaTheme="minorEastAsia"/>
          <w:color w:val="auto"/>
          <w:szCs w:val="24"/>
          <w:highlight w:val="none"/>
        </w:rPr>
        <w:t>管廊净高；</w:t>
      </w:r>
      <w:r>
        <w:rPr>
          <w:rFonts w:ascii="Times New Roman" w:hAnsi="Times New Roman" w:eastAsiaTheme="minorEastAsia"/>
          <w:color w:val="auto"/>
          <w:szCs w:val="24"/>
          <w:highlight w:val="none"/>
        </w:rPr>
        <w:t>C</w:t>
      </w:r>
      <w:r>
        <w:rPr>
          <w:rFonts w:hint="eastAsia" w:ascii="Times New Roman" w:hAnsi="Times New Roman" w:eastAsiaTheme="minorEastAsia"/>
          <w:color w:val="auto"/>
          <w:szCs w:val="24"/>
          <w:highlight w:val="none"/>
        </w:rPr>
        <w:t>为通道宽度。2</w:t>
      </w:r>
      <w:r>
        <w:rPr>
          <w:rFonts w:ascii="Times New Roman" w:hAnsi="Times New Roman" w:eastAsiaTheme="minorEastAsia"/>
          <w:color w:val="auto"/>
          <w:szCs w:val="24"/>
          <w:highlight w:val="none"/>
        </w:rPr>
        <w:t xml:space="preserve">. </w:t>
      </w:r>
      <w:r>
        <w:rPr>
          <w:rFonts w:hint="eastAsia" w:ascii="Times New Roman" w:hAnsi="Times New Roman" w:eastAsiaTheme="minorEastAsia"/>
          <w:color w:val="auto"/>
          <w:szCs w:val="24"/>
          <w:highlight w:val="none"/>
        </w:rPr>
        <w:t>根据吊装及安装需求，局部段小型综合管廊断面可采用盖板式预制多弧涵管断面。</w:t>
      </w:r>
    </w:p>
    <w:p w14:paraId="2C494F26">
      <w:pPr>
        <w:adjustRightInd/>
        <w:spacing w:line="220" w:lineRule="atLeast"/>
        <w:jc w:val="center"/>
        <w:rPr>
          <w:highlight w:val="none"/>
        </w:rPr>
      </w:pPr>
      <w:r>
        <w:rPr>
          <w:highlight w:val="none"/>
        </w:rPr>
        <w:t xml:space="preserve"> </w:t>
      </w:r>
      <w:r>
        <w:rPr>
          <w:highlight w:val="none"/>
        </w:rPr>
        <w:drawing>
          <wp:inline distT="0" distB="0" distL="114300" distR="114300">
            <wp:extent cx="4219575" cy="3599815"/>
            <wp:effectExtent l="0" t="0" r="9525" b="635"/>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15"/>
                    <a:stretch>
                      <a:fillRect/>
                    </a:stretch>
                  </pic:blipFill>
                  <pic:spPr>
                    <a:xfrm>
                      <a:off x="0" y="0"/>
                      <a:ext cx="4219575" cy="3599815"/>
                    </a:xfrm>
                    <a:prstGeom prst="rect">
                      <a:avLst/>
                    </a:prstGeom>
                    <a:noFill/>
                    <a:ln>
                      <a:noFill/>
                    </a:ln>
                  </pic:spPr>
                </pic:pic>
              </a:graphicData>
            </a:graphic>
          </wp:inline>
        </w:drawing>
      </w:r>
    </w:p>
    <w:p w14:paraId="4EEC23D5">
      <w:pPr>
        <w:adjustRightInd/>
        <w:spacing w:line="220" w:lineRule="atLeast"/>
        <w:jc w:val="center"/>
        <w:rPr>
          <w:highlight w:val="none"/>
        </w:rPr>
      </w:pPr>
      <w:r>
        <w:rPr>
          <w:rFonts w:hint="eastAsia"/>
          <w:highlight w:val="none"/>
        </w:rPr>
        <w:t>图</w:t>
      </w:r>
      <w:r>
        <w:rPr>
          <w:highlight w:val="none"/>
        </w:rPr>
        <w:t xml:space="preserve">A.1  </w:t>
      </w:r>
      <w:r>
        <w:rPr>
          <w:rFonts w:hint="eastAsia"/>
          <w:highlight w:val="none"/>
        </w:rPr>
        <w:t xml:space="preserve"> 1.8m×1.6m标准横断面示意图</w:t>
      </w:r>
    </w:p>
    <w:p w14:paraId="6144C332">
      <w:pPr>
        <w:adjustRightInd/>
        <w:spacing w:line="220" w:lineRule="atLeast"/>
        <w:jc w:val="center"/>
        <w:rPr>
          <w:highlight w:val="none"/>
        </w:rPr>
      </w:pPr>
      <w:r>
        <w:rPr>
          <w:highlight w:val="none"/>
        </w:rPr>
        <w:t xml:space="preserve"> </w:t>
      </w:r>
      <w:r>
        <w:rPr>
          <w:highlight w:val="none"/>
        </w:rPr>
        <w:drawing>
          <wp:inline distT="0" distB="0" distL="114300" distR="114300">
            <wp:extent cx="4701540" cy="3599815"/>
            <wp:effectExtent l="0" t="0" r="3810" b="635"/>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16"/>
                    <a:stretch>
                      <a:fillRect/>
                    </a:stretch>
                  </pic:blipFill>
                  <pic:spPr>
                    <a:xfrm>
                      <a:off x="0" y="0"/>
                      <a:ext cx="4701540" cy="3599815"/>
                    </a:xfrm>
                    <a:prstGeom prst="rect">
                      <a:avLst/>
                    </a:prstGeom>
                    <a:noFill/>
                    <a:ln>
                      <a:noFill/>
                    </a:ln>
                  </pic:spPr>
                </pic:pic>
              </a:graphicData>
            </a:graphic>
          </wp:inline>
        </w:drawing>
      </w:r>
    </w:p>
    <w:p w14:paraId="13CA3253">
      <w:pPr>
        <w:adjustRightInd/>
        <w:spacing w:line="220" w:lineRule="atLeast"/>
        <w:jc w:val="center"/>
        <w:rPr>
          <w:highlight w:val="none"/>
        </w:rPr>
      </w:pPr>
      <w:r>
        <w:rPr>
          <w:rFonts w:hint="eastAsia"/>
          <w:highlight w:val="none"/>
        </w:rPr>
        <w:t>图</w:t>
      </w:r>
      <w:r>
        <w:rPr>
          <w:highlight w:val="none"/>
        </w:rPr>
        <w:t xml:space="preserve">A. 2 </w:t>
      </w:r>
      <w:r>
        <w:rPr>
          <w:rFonts w:hint="eastAsia"/>
          <w:highlight w:val="none"/>
        </w:rPr>
        <w:t xml:space="preserve"> 2.0m×1.6m标准横断面示意图</w:t>
      </w:r>
    </w:p>
    <w:p w14:paraId="06AE77F2">
      <w:pPr>
        <w:adjustRightInd/>
        <w:spacing w:line="220" w:lineRule="atLeast"/>
        <w:jc w:val="center"/>
        <w:rPr>
          <w:highlight w:val="none"/>
        </w:rPr>
      </w:pPr>
      <w:r>
        <w:rPr>
          <w:highlight w:val="none"/>
        </w:rPr>
        <w:t xml:space="preserve"> </w:t>
      </w:r>
      <w:r>
        <w:rPr>
          <w:highlight w:val="none"/>
        </w:rPr>
        <w:drawing>
          <wp:inline distT="0" distB="0" distL="0" distR="0">
            <wp:extent cx="4319905" cy="3599815"/>
            <wp:effectExtent l="0" t="0" r="4445" b="635"/>
            <wp:docPr id="466862521" name="图片 1"/>
            <wp:cNvGraphicFramePr/>
            <a:graphic xmlns:a="http://schemas.openxmlformats.org/drawingml/2006/main">
              <a:graphicData uri="http://schemas.openxmlformats.org/drawingml/2006/picture">
                <pic:pic xmlns:pic="http://schemas.openxmlformats.org/drawingml/2006/picture">
                  <pic:nvPicPr>
                    <pic:cNvPr id="466862521" name="图片 1"/>
                    <pic:cNvPicPr/>
                  </pic:nvPicPr>
                  <pic:blipFill>
                    <a:blip r:embed="rId17"/>
                    <a:stretch>
                      <a:fillRect/>
                    </a:stretch>
                  </pic:blipFill>
                  <pic:spPr>
                    <a:xfrm>
                      <a:off x="0" y="0"/>
                      <a:ext cx="4319905" cy="3600000"/>
                    </a:xfrm>
                    <a:prstGeom prst="rect">
                      <a:avLst/>
                    </a:prstGeom>
                  </pic:spPr>
                </pic:pic>
              </a:graphicData>
            </a:graphic>
          </wp:inline>
        </w:drawing>
      </w:r>
    </w:p>
    <w:p w14:paraId="6E465EAC">
      <w:pPr>
        <w:adjustRightInd/>
        <w:spacing w:line="220" w:lineRule="atLeast"/>
        <w:jc w:val="center"/>
        <w:rPr>
          <w:highlight w:val="none"/>
        </w:rPr>
      </w:pPr>
      <w:r>
        <w:rPr>
          <w:rFonts w:hint="eastAsia"/>
          <w:highlight w:val="none"/>
        </w:rPr>
        <w:t>图A.3  1.8m×1.8m标准横断面示意图</w:t>
      </w:r>
    </w:p>
    <w:p w14:paraId="52198480">
      <w:pPr>
        <w:spacing w:line="360" w:lineRule="auto"/>
        <w:ind w:firstLine="480"/>
        <w:jc w:val="center"/>
        <w:rPr>
          <w:highlight w:val="none"/>
        </w:rPr>
      </w:pPr>
      <w:r>
        <w:rPr>
          <w:highlight w:val="none"/>
        </w:rPr>
        <w:drawing>
          <wp:inline distT="0" distB="0" distL="0" distR="0">
            <wp:extent cx="4006215" cy="3599815"/>
            <wp:effectExtent l="0" t="0" r="13335" b="635"/>
            <wp:docPr id="15134902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490295" name="图片 1"/>
                    <pic:cNvPicPr>
                      <a:picLocks noChangeAspect="1"/>
                    </pic:cNvPicPr>
                  </pic:nvPicPr>
                  <pic:blipFill>
                    <a:blip r:embed="rId18"/>
                    <a:stretch>
                      <a:fillRect/>
                    </a:stretch>
                  </pic:blipFill>
                  <pic:spPr>
                    <a:xfrm>
                      <a:off x="0" y="0"/>
                      <a:ext cx="4006646" cy="3600000"/>
                    </a:xfrm>
                    <a:prstGeom prst="rect">
                      <a:avLst/>
                    </a:prstGeom>
                  </pic:spPr>
                </pic:pic>
              </a:graphicData>
            </a:graphic>
          </wp:inline>
        </w:drawing>
      </w:r>
    </w:p>
    <w:p w14:paraId="3ED54702">
      <w:pPr>
        <w:adjustRightInd/>
        <w:spacing w:line="220" w:lineRule="atLeast"/>
        <w:jc w:val="center"/>
        <w:rPr>
          <w:highlight w:val="none"/>
        </w:rPr>
      </w:pPr>
      <w:r>
        <w:rPr>
          <w:rFonts w:hint="eastAsia"/>
          <w:highlight w:val="none"/>
        </w:rPr>
        <w:t xml:space="preserve">图A. 4  </w:t>
      </w:r>
      <w:r>
        <w:rPr>
          <w:highlight w:val="none"/>
        </w:rPr>
        <w:t>2.0</w:t>
      </w:r>
      <w:r>
        <w:rPr>
          <w:rFonts w:hint="eastAsia"/>
          <w:highlight w:val="none"/>
        </w:rPr>
        <w:t>m×1.8m标准横断面示意图</w:t>
      </w:r>
    </w:p>
    <w:p w14:paraId="609BA2FA">
      <w:pPr>
        <w:adjustRightInd/>
        <w:spacing w:line="240" w:lineRule="auto"/>
        <w:jc w:val="center"/>
        <w:rPr>
          <w:highlight w:val="none"/>
        </w:rPr>
      </w:pPr>
      <w:r>
        <w:rPr>
          <w:highlight w:val="none"/>
        </w:rPr>
        <w:drawing>
          <wp:inline distT="0" distB="0" distL="114300" distR="114300">
            <wp:extent cx="4542790" cy="3599815"/>
            <wp:effectExtent l="0" t="0" r="10160" b="635"/>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19"/>
                    <a:stretch>
                      <a:fillRect/>
                    </a:stretch>
                  </pic:blipFill>
                  <pic:spPr>
                    <a:xfrm>
                      <a:off x="0" y="0"/>
                      <a:ext cx="4542790" cy="3599815"/>
                    </a:xfrm>
                    <a:prstGeom prst="rect">
                      <a:avLst/>
                    </a:prstGeom>
                    <a:noFill/>
                    <a:ln>
                      <a:noFill/>
                    </a:ln>
                  </pic:spPr>
                </pic:pic>
              </a:graphicData>
            </a:graphic>
          </wp:inline>
        </w:drawing>
      </w:r>
    </w:p>
    <w:p w14:paraId="2573FD51">
      <w:pPr>
        <w:adjustRightInd/>
        <w:spacing w:line="220" w:lineRule="atLeast"/>
        <w:jc w:val="center"/>
        <w:rPr>
          <w:highlight w:val="none"/>
        </w:rPr>
      </w:pPr>
      <w:r>
        <w:rPr>
          <w:rFonts w:hint="eastAsia"/>
          <w:highlight w:val="none"/>
        </w:rPr>
        <w:t>图</w:t>
      </w:r>
      <w:r>
        <w:rPr>
          <w:highlight w:val="none"/>
        </w:rPr>
        <w:t>A. 5  2.4m×2.1</w:t>
      </w:r>
      <w:r>
        <w:rPr>
          <w:rFonts w:hint="eastAsia"/>
          <w:highlight w:val="none"/>
        </w:rPr>
        <w:t>m标准横断面示意图</w:t>
      </w:r>
    </w:p>
    <w:p w14:paraId="1402D78E">
      <w:pPr>
        <w:adjustRightInd/>
        <w:spacing w:line="220" w:lineRule="atLeast"/>
        <w:jc w:val="center"/>
        <w:rPr>
          <w:rFonts w:hint="eastAsia"/>
          <w:color w:val="auto"/>
          <w:highlight w:val="none"/>
        </w:rPr>
      </w:pPr>
    </w:p>
    <w:p w14:paraId="4D46640D">
      <w:pPr>
        <w:adjustRightInd/>
        <w:spacing w:line="220" w:lineRule="atLeast"/>
        <w:jc w:val="center"/>
        <w:rPr>
          <w:rFonts w:hint="eastAsia"/>
          <w:color w:val="auto"/>
          <w:highlight w:val="none"/>
        </w:rPr>
      </w:pPr>
    </w:p>
    <w:p w14:paraId="76DA2FFF">
      <w:pPr>
        <w:pStyle w:val="2"/>
        <w:spacing w:before="300" w:after="300" w:line="400" w:lineRule="exact"/>
        <w:jc w:val="center"/>
        <w:rPr>
          <w:rFonts w:ascii="黑体" w:hAnsi="黑体"/>
          <w:color w:val="auto"/>
          <w:highlight w:val="none"/>
        </w:rPr>
      </w:pPr>
      <w:bookmarkStart w:id="198" w:name="_Toc7967"/>
      <w:bookmarkStart w:id="199" w:name="_Toc27499"/>
      <w:bookmarkStart w:id="200" w:name="_Toc13484"/>
      <w:r>
        <w:rPr>
          <w:rFonts w:hint="eastAsia" w:ascii="黑体" w:hAnsi="黑体"/>
          <w:color w:val="auto"/>
          <w:highlight w:val="none"/>
        </w:rPr>
        <w:t>附录</w:t>
      </w:r>
      <w:r>
        <w:rPr>
          <w:rFonts w:hint="eastAsia" w:ascii="黑体" w:hAnsi="黑体"/>
          <w:color w:val="auto"/>
          <w:highlight w:val="none"/>
          <w:lang w:val="en-US" w:eastAsia="zh-CN"/>
        </w:rPr>
        <w:t>B</w:t>
      </w:r>
      <w:r>
        <w:rPr>
          <w:rFonts w:hint="eastAsia" w:ascii="黑体" w:hAnsi="黑体"/>
          <w:color w:val="auto"/>
          <w:highlight w:val="none"/>
        </w:rPr>
        <w:t xml:space="preserve">  小型综合管廊现浇矩形标准断面</w:t>
      </w:r>
      <w:bookmarkEnd w:id="198"/>
      <w:bookmarkEnd w:id="199"/>
      <w:bookmarkEnd w:id="200"/>
    </w:p>
    <w:p w14:paraId="2B7037C9">
      <w:pPr>
        <w:spacing w:line="360" w:lineRule="auto"/>
        <w:ind w:firstLine="560"/>
        <w:rPr>
          <w:rFonts w:ascii="宋体" w:hAnsi="宋体" w:cs="宋体"/>
          <w:color w:val="auto"/>
          <w:highlight w:val="none"/>
        </w:rPr>
      </w:pPr>
      <w:r>
        <w:rPr>
          <w:rFonts w:hint="eastAsia" w:ascii="宋体" w:hAnsi="宋体" w:cs="宋体"/>
          <w:color w:val="auto"/>
          <w:highlight w:val="none"/>
        </w:rPr>
        <w:t>小型综合管廊矩形现浇标准横断面可参照图</w:t>
      </w:r>
      <w:r>
        <w:rPr>
          <w:rFonts w:hint="eastAsia" w:ascii="宋体" w:hAnsi="宋体" w:cs="宋体"/>
          <w:color w:val="auto"/>
          <w:highlight w:val="none"/>
          <w:lang w:val="en-US" w:eastAsia="zh-CN"/>
        </w:rPr>
        <w:t>B</w:t>
      </w:r>
      <w:r>
        <w:rPr>
          <w:rFonts w:hint="eastAsia" w:ascii="宋体" w:hAnsi="宋体" w:cs="宋体"/>
          <w:color w:val="auto"/>
          <w:highlight w:val="none"/>
        </w:rPr>
        <w:t xml:space="preserve">.1~ </w:t>
      </w:r>
      <w:r>
        <w:rPr>
          <w:rFonts w:hint="eastAsia" w:ascii="宋体" w:hAnsi="宋体" w:cs="宋体"/>
          <w:color w:val="auto"/>
          <w:highlight w:val="none"/>
          <w:lang w:val="en-US" w:eastAsia="zh-CN"/>
        </w:rPr>
        <w:t>B</w:t>
      </w:r>
      <w:r>
        <w:rPr>
          <w:rFonts w:hint="eastAsia" w:ascii="宋体" w:hAnsi="宋体" w:cs="宋体"/>
          <w:color w:val="auto"/>
          <w:highlight w:val="none"/>
        </w:rPr>
        <w:t>.</w:t>
      </w:r>
      <w:r>
        <w:rPr>
          <w:rFonts w:hint="eastAsia" w:ascii="宋体" w:hAnsi="宋体" w:cs="宋体"/>
          <w:color w:val="auto"/>
          <w:highlight w:val="none"/>
          <w:lang w:val="en-US" w:eastAsia="zh-CN"/>
        </w:rPr>
        <w:t>5</w:t>
      </w:r>
      <w:r>
        <w:rPr>
          <w:rFonts w:hint="eastAsia" w:ascii="宋体" w:hAnsi="宋体" w:cs="宋体"/>
          <w:color w:val="auto"/>
          <w:highlight w:val="none"/>
        </w:rPr>
        <w:t>，并符合表</w:t>
      </w:r>
      <w:r>
        <w:rPr>
          <w:rFonts w:hint="eastAsia" w:ascii="宋体" w:hAnsi="宋体" w:cs="宋体"/>
          <w:color w:val="auto"/>
          <w:highlight w:val="none"/>
          <w:lang w:val="en-US" w:eastAsia="zh-CN"/>
        </w:rPr>
        <w:t>B</w:t>
      </w:r>
      <w:r>
        <w:rPr>
          <w:rFonts w:hint="eastAsia" w:ascii="宋体" w:hAnsi="宋体" w:cs="宋体"/>
          <w:color w:val="auto"/>
          <w:highlight w:val="none"/>
        </w:rPr>
        <w:t>.1的规定：</w:t>
      </w:r>
    </w:p>
    <w:p w14:paraId="0B18E507">
      <w:pPr>
        <w:ind w:firstLine="480"/>
        <w:jc w:val="center"/>
        <w:rPr>
          <w:color w:val="auto"/>
          <w:highlight w:val="none"/>
        </w:rPr>
      </w:pPr>
      <w:r>
        <w:rPr>
          <w:rFonts w:hint="eastAsia"/>
          <w:color w:val="auto"/>
          <w:highlight w:val="none"/>
        </w:rPr>
        <w:t>表</w:t>
      </w:r>
      <w:r>
        <w:rPr>
          <w:rFonts w:hint="eastAsia"/>
          <w:color w:val="auto"/>
          <w:highlight w:val="none"/>
          <w:lang w:val="en-US" w:eastAsia="zh-CN"/>
        </w:rPr>
        <w:t>B</w:t>
      </w:r>
      <w:r>
        <w:rPr>
          <w:rFonts w:hint="eastAsia"/>
          <w:color w:val="auto"/>
          <w:highlight w:val="none"/>
        </w:rPr>
        <w:t>.1 小型综合管廊矩形现浇标准横断面尺寸及入廊管线规模表</w:t>
      </w:r>
    </w:p>
    <w:tbl>
      <w:tblPr>
        <w:tblStyle w:val="12"/>
        <w:tblW w:w="504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022"/>
        <w:gridCol w:w="1789"/>
        <w:gridCol w:w="1910"/>
        <w:gridCol w:w="1570"/>
        <w:gridCol w:w="1570"/>
        <w:gridCol w:w="1581"/>
      </w:tblGrid>
      <w:tr w14:paraId="3331C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6" w:hRule="atLeast"/>
          <w:jc w:val="center"/>
        </w:trPr>
        <w:tc>
          <w:tcPr>
            <w:tcW w:w="1488" w:type="pct"/>
            <w:gridSpan w:val="2"/>
            <w:vAlign w:val="center"/>
          </w:tcPr>
          <w:p w14:paraId="5516EA33">
            <w:pPr>
              <w:pStyle w:val="35"/>
              <w:rPr>
                <w:rFonts w:ascii="宋体" w:hAnsi="宋体" w:cs="宋体" w:eastAsiaTheme="minorEastAsia"/>
                <w:color w:val="auto"/>
                <w:sz w:val="21"/>
                <w:szCs w:val="21"/>
                <w:highlight w:val="none"/>
              </w:rPr>
            </w:pPr>
            <w:r>
              <w:rPr>
                <w:rFonts w:hint="eastAsia" w:ascii="宋体" w:hAnsi="宋体" w:cs="宋体" w:eastAsiaTheme="minorEastAsia"/>
                <w:color w:val="auto"/>
                <w:sz w:val="21"/>
                <w:szCs w:val="21"/>
                <w:highlight w:val="none"/>
              </w:rPr>
              <w:t>小型综合管廊规格（m）</w:t>
            </w:r>
          </w:p>
        </w:tc>
        <w:tc>
          <w:tcPr>
            <w:tcW w:w="1011" w:type="pct"/>
            <w:vAlign w:val="center"/>
          </w:tcPr>
          <w:p w14:paraId="6B238A41">
            <w:pPr>
              <w:pStyle w:val="35"/>
              <w:rPr>
                <w:rFonts w:ascii="宋体" w:hAnsi="宋体" w:cs="宋体" w:eastAsiaTheme="minorEastAsia"/>
                <w:color w:val="auto"/>
                <w:sz w:val="21"/>
                <w:szCs w:val="21"/>
                <w:highlight w:val="none"/>
              </w:rPr>
            </w:pPr>
            <w:r>
              <w:rPr>
                <w:rFonts w:hint="eastAsia" w:ascii="宋体" w:hAnsi="宋体" w:cs="宋体" w:eastAsiaTheme="minorEastAsia"/>
                <w:color w:val="auto"/>
                <w:sz w:val="21"/>
                <w:szCs w:val="21"/>
                <w:highlight w:val="none"/>
              </w:rPr>
              <w:t>10</w:t>
            </w:r>
            <w:r>
              <w:rPr>
                <w:rFonts w:ascii="宋体" w:hAnsi="宋体" w:cs="宋体" w:eastAsiaTheme="minorEastAsia"/>
                <w:color w:val="auto"/>
                <w:sz w:val="21"/>
                <w:szCs w:val="21"/>
                <w:highlight w:val="none"/>
              </w:rPr>
              <w:t>k</w:t>
            </w:r>
            <w:r>
              <w:rPr>
                <w:rFonts w:hint="eastAsia" w:ascii="宋体" w:hAnsi="宋体" w:cs="宋体" w:eastAsiaTheme="minorEastAsia"/>
                <w:color w:val="auto"/>
                <w:sz w:val="21"/>
                <w:szCs w:val="21"/>
                <w:highlight w:val="none"/>
              </w:rPr>
              <w:t>V电力</w:t>
            </w:r>
          </w:p>
        </w:tc>
        <w:tc>
          <w:tcPr>
            <w:tcW w:w="831" w:type="pct"/>
            <w:vAlign w:val="center"/>
          </w:tcPr>
          <w:p w14:paraId="4D7BD6C0">
            <w:pPr>
              <w:pStyle w:val="35"/>
              <w:rPr>
                <w:rFonts w:ascii="宋体" w:hAnsi="宋体" w:cs="宋体" w:eastAsiaTheme="minorEastAsia"/>
                <w:color w:val="auto"/>
                <w:sz w:val="21"/>
                <w:szCs w:val="21"/>
                <w:highlight w:val="none"/>
              </w:rPr>
            </w:pPr>
            <w:r>
              <w:rPr>
                <w:rFonts w:hint="eastAsia" w:ascii="宋体" w:hAnsi="宋体" w:cs="宋体" w:eastAsiaTheme="minorEastAsia"/>
                <w:color w:val="auto"/>
                <w:sz w:val="21"/>
                <w:szCs w:val="21"/>
                <w:highlight w:val="none"/>
              </w:rPr>
              <w:t>通信</w:t>
            </w:r>
          </w:p>
        </w:tc>
        <w:tc>
          <w:tcPr>
            <w:tcW w:w="831" w:type="pct"/>
            <w:vAlign w:val="center"/>
          </w:tcPr>
          <w:p w14:paraId="22EA5666">
            <w:pPr>
              <w:pStyle w:val="35"/>
              <w:rPr>
                <w:rFonts w:ascii="宋体" w:hAnsi="宋体" w:cs="宋体" w:eastAsiaTheme="minorEastAsia"/>
                <w:color w:val="auto"/>
                <w:sz w:val="21"/>
                <w:szCs w:val="21"/>
                <w:highlight w:val="none"/>
              </w:rPr>
            </w:pPr>
            <w:r>
              <w:rPr>
                <w:rFonts w:hint="eastAsia" w:ascii="宋体" w:hAnsi="宋体" w:cs="宋体" w:eastAsiaTheme="minorEastAsia"/>
                <w:color w:val="auto"/>
                <w:sz w:val="21"/>
                <w:szCs w:val="21"/>
                <w:highlight w:val="none"/>
              </w:rPr>
              <w:t>DN1（m</w:t>
            </w:r>
            <w:r>
              <w:rPr>
                <w:rFonts w:ascii="宋体" w:hAnsi="宋体" w:cs="宋体" w:eastAsiaTheme="minorEastAsia"/>
                <w:color w:val="auto"/>
                <w:sz w:val="21"/>
                <w:szCs w:val="21"/>
                <w:highlight w:val="none"/>
              </w:rPr>
              <w:t>m</w:t>
            </w:r>
            <w:r>
              <w:rPr>
                <w:rFonts w:hint="eastAsia" w:ascii="宋体" w:hAnsi="宋体" w:cs="宋体" w:eastAsiaTheme="minorEastAsia"/>
                <w:color w:val="auto"/>
                <w:sz w:val="21"/>
                <w:szCs w:val="21"/>
                <w:highlight w:val="none"/>
              </w:rPr>
              <w:t>）</w:t>
            </w:r>
          </w:p>
        </w:tc>
        <w:tc>
          <w:tcPr>
            <w:tcW w:w="836" w:type="pct"/>
            <w:vAlign w:val="center"/>
          </w:tcPr>
          <w:p w14:paraId="130147F2">
            <w:pPr>
              <w:pStyle w:val="35"/>
              <w:rPr>
                <w:rFonts w:ascii="宋体" w:hAnsi="宋体" w:cs="宋体" w:eastAsiaTheme="minorEastAsia"/>
                <w:color w:val="auto"/>
                <w:sz w:val="21"/>
                <w:szCs w:val="21"/>
                <w:highlight w:val="none"/>
              </w:rPr>
            </w:pPr>
            <w:r>
              <w:rPr>
                <w:rFonts w:hint="eastAsia" w:ascii="宋体" w:hAnsi="宋体" w:cs="宋体" w:eastAsiaTheme="minorEastAsia"/>
                <w:color w:val="auto"/>
                <w:sz w:val="21"/>
                <w:szCs w:val="21"/>
                <w:highlight w:val="none"/>
              </w:rPr>
              <w:t>DN2（m</w:t>
            </w:r>
            <w:r>
              <w:rPr>
                <w:rFonts w:ascii="宋体" w:hAnsi="宋体" w:cs="宋体" w:eastAsiaTheme="minorEastAsia"/>
                <w:color w:val="auto"/>
                <w:sz w:val="21"/>
                <w:szCs w:val="21"/>
                <w:highlight w:val="none"/>
              </w:rPr>
              <w:t>m</w:t>
            </w:r>
            <w:r>
              <w:rPr>
                <w:rFonts w:hint="eastAsia" w:ascii="宋体" w:hAnsi="宋体" w:cs="宋体" w:eastAsiaTheme="minorEastAsia"/>
                <w:color w:val="auto"/>
                <w:sz w:val="21"/>
                <w:szCs w:val="21"/>
                <w:highlight w:val="none"/>
              </w:rPr>
              <w:t>）</w:t>
            </w:r>
          </w:p>
        </w:tc>
      </w:tr>
      <w:tr w14:paraId="45700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41" w:type="pct"/>
            <w:vMerge w:val="restart"/>
            <w:vAlign w:val="center"/>
          </w:tcPr>
          <w:p w14:paraId="18B5F416">
            <w:pPr>
              <w:pStyle w:val="35"/>
              <w:rPr>
                <w:rFonts w:ascii="宋体" w:hAnsi="宋体" w:cs="宋体" w:eastAsiaTheme="minorEastAsia"/>
                <w:color w:val="auto"/>
                <w:sz w:val="21"/>
                <w:szCs w:val="21"/>
                <w:highlight w:val="none"/>
              </w:rPr>
            </w:pPr>
            <w:r>
              <w:rPr>
                <w:rFonts w:hint="eastAsia" w:ascii="宋体" w:hAnsi="宋体" w:cs="宋体" w:eastAsiaTheme="minorEastAsia"/>
                <w:color w:val="auto"/>
                <w:sz w:val="21"/>
                <w:szCs w:val="21"/>
                <w:highlight w:val="none"/>
              </w:rPr>
              <w:t>A</w:t>
            </w:r>
            <w:r>
              <w:rPr>
                <w:rFonts w:ascii="宋体" w:hAnsi="宋体" w:cs="宋体" w:eastAsiaTheme="minorEastAsia"/>
                <w:color w:val="auto"/>
                <w:sz w:val="21"/>
                <w:szCs w:val="21"/>
                <w:highlight w:val="none"/>
              </w:rPr>
              <w:t>*B-C</w:t>
            </w:r>
          </w:p>
        </w:tc>
        <w:tc>
          <w:tcPr>
            <w:tcW w:w="946" w:type="pct"/>
            <w:shd w:val="clear" w:color="auto" w:fill="auto"/>
            <w:vAlign w:val="center"/>
          </w:tcPr>
          <w:p w14:paraId="1761B48E">
            <w:pPr>
              <w:pStyle w:val="35"/>
              <w:rPr>
                <w:rFonts w:ascii="宋体" w:hAnsi="宋体" w:cs="宋体" w:eastAsiaTheme="minorEastAsia"/>
                <w:color w:val="auto"/>
                <w:kern w:val="2"/>
                <w:sz w:val="21"/>
                <w:szCs w:val="21"/>
                <w:highlight w:val="none"/>
                <w:lang w:val="en-US" w:eastAsia="zh-CN" w:bidi="ar-SA"/>
              </w:rPr>
            </w:pPr>
            <w:r>
              <w:rPr>
                <w:rFonts w:hint="eastAsia" w:ascii="宋体" w:hAnsi="宋体" w:cs="宋体" w:eastAsiaTheme="minorEastAsia"/>
                <w:color w:val="auto"/>
                <w:sz w:val="21"/>
                <w:szCs w:val="21"/>
                <w:highlight w:val="none"/>
              </w:rPr>
              <w:t>1.8*1.6-0.7</w:t>
            </w:r>
          </w:p>
        </w:tc>
        <w:tc>
          <w:tcPr>
            <w:tcW w:w="1011" w:type="pct"/>
            <w:shd w:val="clear" w:color="auto" w:fill="auto"/>
            <w:vAlign w:val="center"/>
          </w:tcPr>
          <w:p w14:paraId="1A5866C8">
            <w:pPr>
              <w:pStyle w:val="35"/>
              <w:rPr>
                <w:rFonts w:ascii="宋体" w:hAnsi="宋体" w:cs="宋体" w:eastAsiaTheme="minorEastAsia"/>
                <w:color w:val="auto"/>
                <w:kern w:val="2"/>
                <w:sz w:val="21"/>
                <w:szCs w:val="21"/>
                <w:highlight w:val="none"/>
                <w:lang w:val="en-US" w:eastAsia="zh-CN" w:bidi="ar-SA"/>
              </w:rPr>
            </w:pPr>
            <w:r>
              <w:rPr>
                <w:rFonts w:hint="eastAsia" w:ascii="宋体" w:hAnsi="宋体" w:cs="宋体" w:eastAsiaTheme="minorEastAsia"/>
                <w:color w:val="auto"/>
                <w:sz w:val="21"/>
                <w:szCs w:val="21"/>
                <w:highlight w:val="none"/>
              </w:rPr>
              <w:t>9孔</w:t>
            </w:r>
          </w:p>
        </w:tc>
        <w:tc>
          <w:tcPr>
            <w:tcW w:w="831" w:type="pct"/>
            <w:shd w:val="clear" w:color="auto" w:fill="auto"/>
            <w:vAlign w:val="center"/>
          </w:tcPr>
          <w:p w14:paraId="4C6BCD2A">
            <w:pPr>
              <w:pStyle w:val="35"/>
              <w:rPr>
                <w:rFonts w:ascii="宋体" w:hAnsi="宋体" w:cs="宋体" w:eastAsiaTheme="minorEastAsia"/>
                <w:color w:val="auto"/>
                <w:kern w:val="2"/>
                <w:sz w:val="21"/>
                <w:szCs w:val="21"/>
                <w:highlight w:val="none"/>
                <w:lang w:val="en-US" w:eastAsia="zh-CN" w:bidi="ar-SA"/>
              </w:rPr>
            </w:pPr>
            <w:r>
              <w:rPr>
                <w:rFonts w:hint="eastAsia" w:ascii="宋体" w:hAnsi="宋体" w:cs="宋体" w:eastAsiaTheme="minorEastAsia"/>
                <w:color w:val="auto"/>
                <w:sz w:val="21"/>
                <w:szCs w:val="21"/>
                <w:highlight w:val="none"/>
              </w:rPr>
              <w:t>12孔</w:t>
            </w:r>
          </w:p>
        </w:tc>
        <w:tc>
          <w:tcPr>
            <w:tcW w:w="831" w:type="pct"/>
            <w:shd w:val="clear" w:color="auto" w:fill="auto"/>
            <w:vAlign w:val="center"/>
          </w:tcPr>
          <w:p w14:paraId="5EAA9B2C">
            <w:pPr>
              <w:pStyle w:val="35"/>
              <w:rPr>
                <w:rFonts w:ascii="宋体" w:hAnsi="宋体" w:cs="宋体" w:eastAsiaTheme="minorEastAsia"/>
                <w:color w:val="auto"/>
                <w:kern w:val="2"/>
                <w:sz w:val="21"/>
                <w:szCs w:val="21"/>
                <w:highlight w:val="none"/>
                <w:lang w:val="en-US" w:eastAsia="zh-CN" w:bidi="ar-SA"/>
              </w:rPr>
            </w:pPr>
            <w:r>
              <w:rPr>
                <w:rFonts w:hint="eastAsia" w:ascii="宋体" w:hAnsi="宋体" w:cs="宋体" w:eastAsiaTheme="minorEastAsia"/>
                <w:color w:val="auto"/>
                <w:sz w:val="21"/>
                <w:szCs w:val="21"/>
                <w:highlight w:val="none"/>
              </w:rPr>
              <w:t>DN300</w:t>
            </w:r>
          </w:p>
        </w:tc>
        <w:tc>
          <w:tcPr>
            <w:tcW w:w="836" w:type="pct"/>
            <w:shd w:val="clear" w:color="auto" w:fill="auto"/>
            <w:vAlign w:val="top"/>
          </w:tcPr>
          <w:p w14:paraId="520FDBCC">
            <w:pPr>
              <w:pStyle w:val="35"/>
              <w:rPr>
                <w:rFonts w:ascii="宋体" w:hAnsi="宋体" w:cs="宋体" w:eastAsiaTheme="minorEastAsia"/>
                <w:color w:val="auto"/>
                <w:kern w:val="2"/>
                <w:sz w:val="21"/>
                <w:szCs w:val="21"/>
                <w:highlight w:val="none"/>
                <w:lang w:val="en-US" w:eastAsia="zh-CN" w:bidi="ar-SA"/>
              </w:rPr>
            </w:pPr>
            <w:r>
              <w:rPr>
                <w:rFonts w:hint="eastAsia" w:ascii="宋体" w:hAnsi="宋体" w:cs="宋体" w:eastAsiaTheme="minorEastAsia"/>
                <w:color w:val="auto"/>
                <w:sz w:val="21"/>
                <w:szCs w:val="21"/>
                <w:highlight w:val="none"/>
              </w:rPr>
              <w:t>DN150</w:t>
            </w:r>
          </w:p>
        </w:tc>
      </w:tr>
      <w:tr w14:paraId="2DA33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41" w:type="pct"/>
            <w:vMerge w:val="continue"/>
            <w:vAlign w:val="center"/>
          </w:tcPr>
          <w:p w14:paraId="7500A22D">
            <w:pPr>
              <w:pStyle w:val="35"/>
              <w:rPr>
                <w:rFonts w:ascii="宋体" w:hAnsi="宋体" w:cs="宋体" w:eastAsiaTheme="minorEastAsia"/>
                <w:color w:val="auto"/>
                <w:sz w:val="21"/>
                <w:szCs w:val="21"/>
                <w:highlight w:val="none"/>
              </w:rPr>
            </w:pPr>
          </w:p>
        </w:tc>
        <w:tc>
          <w:tcPr>
            <w:tcW w:w="946" w:type="pct"/>
            <w:shd w:val="clear" w:color="auto" w:fill="auto"/>
            <w:vAlign w:val="center"/>
          </w:tcPr>
          <w:p w14:paraId="345AA0B8">
            <w:pPr>
              <w:pStyle w:val="35"/>
              <w:rPr>
                <w:rFonts w:ascii="宋体" w:hAnsi="宋体" w:cs="宋体" w:eastAsiaTheme="minorEastAsia"/>
                <w:color w:val="auto"/>
                <w:kern w:val="2"/>
                <w:sz w:val="21"/>
                <w:szCs w:val="21"/>
                <w:highlight w:val="none"/>
                <w:lang w:val="en-US" w:eastAsia="zh-CN" w:bidi="ar-SA"/>
              </w:rPr>
            </w:pPr>
            <w:r>
              <w:rPr>
                <w:rFonts w:hint="eastAsia" w:ascii="宋体" w:hAnsi="宋体" w:cs="宋体" w:eastAsiaTheme="minorEastAsia"/>
                <w:color w:val="auto"/>
                <w:sz w:val="21"/>
                <w:szCs w:val="21"/>
                <w:highlight w:val="none"/>
              </w:rPr>
              <w:t>2.0*1.6-0.7</w:t>
            </w:r>
          </w:p>
        </w:tc>
        <w:tc>
          <w:tcPr>
            <w:tcW w:w="1011" w:type="pct"/>
            <w:shd w:val="clear" w:color="auto" w:fill="auto"/>
            <w:vAlign w:val="center"/>
          </w:tcPr>
          <w:p w14:paraId="13D47CCD">
            <w:pPr>
              <w:pStyle w:val="35"/>
              <w:rPr>
                <w:rFonts w:ascii="宋体" w:hAnsi="宋体" w:cs="宋体" w:eastAsiaTheme="minorEastAsia"/>
                <w:color w:val="auto"/>
                <w:kern w:val="2"/>
                <w:sz w:val="21"/>
                <w:szCs w:val="21"/>
                <w:highlight w:val="none"/>
                <w:lang w:val="en-US" w:eastAsia="zh-CN" w:bidi="ar-SA"/>
              </w:rPr>
            </w:pPr>
            <w:r>
              <w:rPr>
                <w:rFonts w:hint="eastAsia" w:ascii="宋体" w:hAnsi="宋体" w:cs="宋体" w:eastAsiaTheme="minorEastAsia"/>
                <w:color w:val="auto"/>
                <w:sz w:val="21"/>
                <w:szCs w:val="21"/>
                <w:highlight w:val="none"/>
              </w:rPr>
              <w:t>12孔</w:t>
            </w:r>
          </w:p>
        </w:tc>
        <w:tc>
          <w:tcPr>
            <w:tcW w:w="831" w:type="pct"/>
            <w:shd w:val="clear" w:color="auto" w:fill="auto"/>
            <w:vAlign w:val="center"/>
          </w:tcPr>
          <w:p w14:paraId="59C482A9">
            <w:pPr>
              <w:pStyle w:val="35"/>
              <w:rPr>
                <w:rFonts w:ascii="宋体" w:hAnsi="宋体" w:cs="宋体" w:eastAsiaTheme="minorEastAsia"/>
                <w:color w:val="auto"/>
                <w:kern w:val="2"/>
                <w:sz w:val="21"/>
                <w:szCs w:val="21"/>
                <w:highlight w:val="none"/>
                <w:lang w:val="en-US" w:eastAsia="zh-CN" w:bidi="ar-SA"/>
              </w:rPr>
            </w:pPr>
            <w:r>
              <w:rPr>
                <w:rFonts w:hint="eastAsia" w:ascii="宋体" w:hAnsi="宋体" w:cs="宋体" w:eastAsiaTheme="minorEastAsia"/>
                <w:color w:val="auto"/>
                <w:sz w:val="21"/>
                <w:szCs w:val="21"/>
                <w:highlight w:val="none"/>
              </w:rPr>
              <w:t>12孔</w:t>
            </w:r>
          </w:p>
        </w:tc>
        <w:tc>
          <w:tcPr>
            <w:tcW w:w="831" w:type="pct"/>
            <w:shd w:val="clear" w:color="auto" w:fill="auto"/>
            <w:vAlign w:val="center"/>
          </w:tcPr>
          <w:p w14:paraId="62D58474">
            <w:pPr>
              <w:pStyle w:val="35"/>
              <w:rPr>
                <w:rFonts w:ascii="宋体" w:hAnsi="宋体" w:cs="宋体" w:eastAsiaTheme="minorEastAsia"/>
                <w:color w:val="auto"/>
                <w:kern w:val="2"/>
                <w:sz w:val="21"/>
                <w:szCs w:val="21"/>
                <w:highlight w:val="none"/>
                <w:lang w:val="en-US" w:eastAsia="zh-CN" w:bidi="ar-SA"/>
              </w:rPr>
            </w:pPr>
            <w:r>
              <w:rPr>
                <w:rFonts w:hint="eastAsia" w:ascii="宋体" w:hAnsi="宋体" w:cs="宋体" w:eastAsiaTheme="minorEastAsia"/>
                <w:color w:val="auto"/>
                <w:sz w:val="21"/>
                <w:szCs w:val="21"/>
                <w:highlight w:val="none"/>
              </w:rPr>
              <w:t>DN300</w:t>
            </w:r>
          </w:p>
        </w:tc>
        <w:tc>
          <w:tcPr>
            <w:tcW w:w="836" w:type="pct"/>
            <w:shd w:val="clear" w:color="auto" w:fill="auto"/>
            <w:vAlign w:val="top"/>
          </w:tcPr>
          <w:p w14:paraId="34474808">
            <w:pPr>
              <w:pStyle w:val="35"/>
              <w:rPr>
                <w:rFonts w:ascii="宋体" w:hAnsi="宋体" w:cs="宋体" w:eastAsiaTheme="minorEastAsia"/>
                <w:color w:val="auto"/>
                <w:kern w:val="2"/>
                <w:sz w:val="21"/>
                <w:szCs w:val="21"/>
                <w:highlight w:val="none"/>
                <w:lang w:val="en-US" w:eastAsia="zh-CN" w:bidi="ar-SA"/>
              </w:rPr>
            </w:pPr>
            <w:r>
              <w:rPr>
                <w:rFonts w:hint="eastAsia" w:ascii="宋体" w:hAnsi="宋体" w:cs="宋体" w:eastAsiaTheme="minorEastAsia"/>
                <w:color w:val="auto"/>
                <w:sz w:val="21"/>
                <w:szCs w:val="21"/>
                <w:highlight w:val="none"/>
              </w:rPr>
              <w:t>DN150</w:t>
            </w:r>
          </w:p>
        </w:tc>
      </w:tr>
      <w:tr w14:paraId="7F0AD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41" w:type="pct"/>
            <w:vMerge w:val="continue"/>
            <w:vAlign w:val="center"/>
          </w:tcPr>
          <w:p w14:paraId="69B54ED9">
            <w:pPr>
              <w:pStyle w:val="35"/>
              <w:rPr>
                <w:rFonts w:ascii="宋体" w:hAnsi="宋体" w:cs="宋体" w:eastAsiaTheme="minorEastAsia"/>
                <w:color w:val="auto"/>
                <w:sz w:val="21"/>
                <w:szCs w:val="21"/>
                <w:highlight w:val="none"/>
              </w:rPr>
            </w:pPr>
          </w:p>
        </w:tc>
        <w:tc>
          <w:tcPr>
            <w:tcW w:w="946" w:type="pct"/>
            <w:shd w:val="clear" w:color="auto" w:fill="auto"/>
            <w:vAlign w:val="center"/>
          </w:tcPr>
          <w:p w14:paraId="6B9ED497">
            <w:pPr>
              <w:pStyle w:val="35"/>
              <w:rPr>
                <w:rFonts w:ascii="宋体" w:hAnsi="宋体" w:cs="宋体" w:eastAsiaTheme="minorEastAsia"/>
                <w:color w:val="auto"/>
                <w:kern w:val="2"/>
                <w:sz w:val="21"/>
                <w:szCs w:val="21"/>
                <w:highlight w:val="none"/>
                <w:lang w:val="en-US" w:eastAsia="zh-CN" w:bidi="ar-SA"/>
              </w:rPr>
            </w:pPr>
            <w:r>
              <w:rPr>
                <w:rFonts w:hint="eastAsia" w:ascii="宋体" w:hAnsi="宋体" w:cs="宋体" w:eastAsiaTheme="minorEastAsia"/>
                <w:color w:val="auto"/>
                <w:sz w:val="21"/>
                <w:szCs w:val="21"/>
                <w:highlight w:val="none"/>
              </w:rPr>
              <w:t>1.8*1.8-0.7</w:t>
            </w:r>
          </w:p>
        </w:tc>
        <w:tc>
          <w:tcPr>
            <w:tcW w:w="1011" w:type="pct"/>
            <w:shd w:val="clear" w:color="auto" w:fill="auto"/>
            <w:vAlign w:val="center"/>
          </w:tcPr>
          <w:p w14:paraId="474E8510">
            <w:pPr>
              <w:pStyle w:val="35"/>
              <w:rPr>
                <w:rFonts w:ascii="宋体" w:hAnsi="宋体" w:cs="宋体" w:eastAsiaTheme="minorEastAsia"/>
                <w:color w:val="auto"/>
                <w:kern w:val="2"/>
                <w:sz w:val="21"/>
                <w:szCs w:val="21"/>
                <w:highlight w:val="none"/>
                <w:lang w:val="en-US" w:eastAsia="zh-CN" w:bidi="ar-SA"/>
              </w:rPr>
            </w:pPr>
            <w:r>
              <w:rPr>
                <w:rFonts w:hint="eastAsia" w:ascii="宋体" w:hAnsi="宋体" w:cs="宋体" w:eastAsiaTheme="minorEastAsia"/>
                <w:color w:val="auto"/>
                <w:sz w:val="21"/>
                <w:szCs w:val="21"/>
                <w:highlight w:val="none"/>
              </w:rPr>
              <w:t>12孔</w:t>
            </w:r>
          </w:p>
        </w:tc>
        <w:tc>
          <w:tcPr>
            <w:tcW w:w="831" w:type="pct"/>
            <w:shd w:val="clear" w:color="auto" w:fill="auto"/>
            <w:vAlign w:val="center"/>
          </w:tcPr>
          <w:p w14:paraId="2A539958">
            <w:pPr>
              <w:pStyle w:val="35"/>
              <w:rPr>
                <w:rFonts w:ascii="宋体" w:hAnsi="宋体" w:cs="宋体" w:eastAsiaTheme="minorEastAsia"/>
                <w:color w:val="auto"/>
                <w:kern w:val="2"/>
                <w:sz w:val="21"/>
                <w:szCs w:val="21"/>
                <w:highlight w:val="none"/>
                <w:lang w:val="en-US" w:eastAsia="zh-CN" w:bidi="ar-SA"/>
              </w:rPr>
            </w:pPr>
            <w:r>
              <w:rPr>
                <w:rFonts w:hint="eastAsia" w:ascii="宋体" w:hAnsi="宋体" w:cs="宋体" w:eastAsiaTheme="minorEastAsia"/>
                <w:color w:val="auto"/>
                <w:sz w:val="21"/>
                <w:szCs w:val="21"/>
                <w:highlight w:val="none"/>
              </w:rPr>
              <w:t>12孔</w:t>
            </w:r>
          </w:p>
        </w:tc>
        <w:tc>
          <w:tcPr>
            <w:tcW w:w="831" w:type="pct"/>
            <w:shd w:val="clear" w:color="auto" w:fill="auto"/>
            <w:vAlign w:val="center"/>
          </w:tcPr>
          <w:p w14:paraId="642E9956">
            <w:pPr>
              <w:pStyle w:val="35"/>
              <w:rPr>
                <w:rFonts w:ascii="宋体" w:hAnsi="宋体" w:cs="宋体" w:eastAsiaTheme="minorEastAsia"/>
                <w:color w:val="auto"/>
                <w:kern w:val="2"/>
                <w:sz w:val="21"/>
                <w:szCs w:val="21"/>
                <w:highlight w:val="none"/>
                <w:lang w:val="en-US" w:eastAsia="zh-CN" w:bidi="ar-SA"/>
              </w:rPr>
            </w:pPr>
            <w:r>
              <w:rPr>
                <w:rFonts w:hint="eastAsia" w:ascii="宋体" w:hAnsi="宋体" w:cs="宋体" w:eastAsiaTheme="minorEastAsia"/>
                <w:color w:val="auto"/>
                <w:sz w:val="21"/>
                <w:szCs w:val="21"/>
                <w:highlight w:val="none"/>
              </w:rPr>
              <w:t>DN</w:t>
            </w:r>
            <w:r>
              <w:rPr>
                <w:rFonts w:ascii="宋体" w:hAnsi="宋体" w:cs="宋体" w:eastAsiaTheme="minorEastAsia"/>
                <w:color w:val="auto"/>
                <w:sz w:val="21"/>
                <w:szCs w:val="21"/>
                <w:highlight w:val="none"/>
              </w:rPr>
              <w:t>250</w:t>
            </w:r>
          </w:p>
        </w:tc>
        <w:tc>
          <w:tcPr>
            <w:tcW w:w="836" w:type="pct"/>
            <w:shd w:val="clear" w:color="auto" w:fill="auto"/>
            <w:vAlign w:val="center"/>
          </w:tcPr>
          <w:p w14:paraId="6ABD664F">
            <w:pPr>
              <w:pStyle w:val="35"/>
              <w:rPr>
                <w:rFonts w:ascii="宋体" w:hAnsi="宋体" w:cs="宋体" w:eastAsiaTheme="minorEastAsia"/>
                <w:color w:val="auto"/>
                <w:kern w:val="2"/>
                <w:sz w:val="21"/>
                <w:szCs w:val="21"/>
                <w:highlight w:val="none"/>
                <w:lang w:val="en-US" w:eastAsia="zh-CN" w:bidi="ar-SA"/>
              </w:rPr>
            </w:pPr>
            <w:r>
              <w:rPr>
                <w:rFonts w:hint="eastAsia" w:ascii="宋体" w:hAnsi="宋体" w:cs="宋体" w:eastAsiaTheme="minorEastAsia"/>
                <w:color w:val="auto"/>
                <w:sz w:val="21"/>
                <w:szCs w:val="21"/>
                <w:highlight w:val="none"/>
              </w:rPr>
              <w:t>DN200</w:t>
            </w:r>
          </w:p>
        </w:tc>
      </w:tr>
      <w:tr w14:paraId="61A35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41" w:type="pct"/>
            <w:vMerge w:val="continue"/>
            <w:vAlign w:val="center"/>
          </w:tcPr>
          <w:p w14:paraId="5F022ED7">
            <w:pPr>
              <w:pStyle w:val="35"/>
              <w:rPr>
                <w:rFonts w:ascii="宋体" w:hAnsi="宋体" w:cs="宋体" w:eastAsiaTheme="minorEastAsia"/>
                <w:color w:val="auto"/>
                <w:sz w:val="21"/>
                <w:szCs w:val="21"/>
                <w:highlight w:val="none"/>
              </w:rPr>
            </w:pPr>
          </w:p>
        </w:tc>
        <w:tc>
          <w:tcPr>
            <w:tcW w:w="946" w:type="pct"/>
            <w:shd w:val="clear" w:color="auto" w:fill="auto"/>
            <w:vAlign w:val="center"/>
          </w:tcPr>
          <w:p w14:paraId="71CBD4D4">
            <w:pPr>
              <w:pStyle w:val="35"/>
              <w:rPr>
                <w:rFonts w:ascii="宋体" w:hAnsi="宋体" w:cs="宋体" w:eastAsiaTheme="minorEastAsia"/>
                <w:color w:val="auto"/>
                <w:kern w:val="2"/>
                <w:sz w:val="21"/>
                <w:szCs w:val="21"/>
                <w:highlight w:val="none"/>
                <w:lang w:val="en-US" w:eastAsia="zh-CN" w:bidi="ar-SA"/>
              </w:rPr>
            </w:pPr>
            <w:r>
              <w:rPr>
                <w:rFonts w:hint="eastAsia" w:ascii="宋体" w:hAnsi="宋体" w:cs="宋体" w:eastAsiaTheme="minorEastAsia"/>
                <w:color w:val="auto"/>
                <w:sz w:val="21"/>
                <w:szCs w:val="21"/>
                <w:highlight w:val="none"/>
              </w:rPr>
              <w:t>2.0*1.8-0.7</w:t>
            </w:r>
          </w:p>
        </w:tc>
        <w:tc>
          <w:tcPr>
            <w:tcW w:w="1011" w:type="pct"/>
            <w:shd w:val="clear" w:color="auto" w:fill="auto"/>
            <w:vAlign w:val="center"/>
          </w:tcPr>
          <w:p w14:paraId="33B0CA58">
            <w:pPr>
              <w:pStyle w:val="35"/>
              <w:rPr>
                <w:rFonts w:ascii="宋体" w:hAnsi="宋体" w:cs="宋体" w:eastAsiaTheme="minorEastAsia"/>
                <w:color w:val="auto"/>
                <w:kern w:val="2"/>
                <w:sz w:val="21"/>
                <w:szCs w:val="21"/>
                <w:highlight w:val="none"/>
                <w:lang w:val="en-US" w:eastAsia="zh-CN" w:bidi="ar-SA"/>
              </w:rPr>
            </w:pPr>
            <w:r>
              <w:rPr>
                <w:rFonts w:hint="eastAsia" w:ascii="宋体" w:hAnsi="宋体" w:cs="宋体" w:eastAsiaTheme="minorEastAsia"/>
                <w:color w:val="auto"/>
                <w:sz w:val="21"/>
                <w:szCs w:val="21"/>
                <w:highlight w:val="none"/>
              </w:rPr>
              <w:t>16孔</w:t>
            </w:r>
          </w:p>
        </w:tc>
        <w:tc>
          <w:tcPr>
            <w:tcW w:w="831" w:type="pct"/>
            <w:shd w:val="clear" w:color="auto" w:fill="auto"/>
            <w:vAlign w:val="center"/>
          </w:tcPr>
          <w:p w14:paraId="204F593A">
            <w:pPr>
              <w:pStyle w:val="35"/>
              <w:rPr>
                <w:rFonts w:ascii="宋体" w:hAnsi="宋体" w:cs="宋体" w:eastAsiaTheme="minorEastAsia"/>
                <w:color w:val="auto"/>
                <w:kern w:val="2"/>
                <w:sz w:val="21"/>
                <w:szCs w:val="21"/>
                <w:highlight w:val="none"/>
                <w:lang w:val="en-US" w:eastAsia="zh-CN" w:bidi="ar-SA"/>
              </w:rPr>
            </w:pPr>
            <w:r>
              <w:rPr>
                <w:rFonts w:hint="eastAsia" w:ascii="宋体" w:hAnsi="宋体" w:cs="宋体" w:eastAsiaTheme="minorEastAsia"/>
                <w:color w:val="auto"/>
                <w:sz w:val="21"/>
                <w:szCs w:val="21"/>
                <w:highlight w:val="none"/>
              </w:rPr>
              <w:t>12孔</w:t>
            </w:r>
          </w:p>
        </w:tc>
        <w:tc>
          <w:tcPr>
            <w:tcW w:w="831" w:type="pct"/>
            <w:shd w:val="clear" w:color="auto" w:fill="auto"/>
            <w:vAlign w:val="center"/>
          </w:tcPr>
          <w:p w14:paraId="1F1ED5F2">
            <w:pPr>
              <w:pStyle w:val="35"/>
              <w:rPr>
                <w:rFonts w:ascii="宋体" w:hAnsi="宋体" w:cs="宋体" w:eastAsiaTheme="minorEastAsia"/>
                <w:color w:val="auto"/>
                <w:kern w:val="2"/>
                <w:sz w:val="21"/>
                <w:szCs w:val="21"/>
                <w:highlight w:val="none"/>
                <w:lang w:val="en-US" w:eastAsia="zh-CN" w:bidi="ar-SA"/>
              </w:rPr>
            </w:pPr>
            <w:r>
              <w:rPr>
                <w:rFonts w:hint="eastAsia" w:ascii="宋体" w:hAnsi="宋体" w:cs="宋体" w:eastAsiaTheme="minorEastAsia"/>
                <w:color w:val="auto"/>
                <w:sz w:val="21"/>
                <w:szCs w:val="21"/>
                <w:highlight w:val="none"/>
              </w:rPr>
              <w:t>DN</w:t>
            </w:r>
            <w:r>
              <w:rPr>
                <w:rFonts w:ascii="宋体" w:hAnsi="宋体" w:cs="宋体" w:eastAsiaTheme="minorEastAsia"/>
                <w:color w:val="auto"/>
                <w:sz w:val="21"/>
                <w:szCs w:val="21"/>
                <w:highlight w:val="none"/>
              </w:rPr>
              <w:t>250</w:t>
            </w:r>
          </w:p>
        </w:tc>
        <w:tc>
          <w:tcPr>
            <w:tcW w:w="836" w:type="pct"/>
            <w:shd w:val="clear" w:color="auto" w:fill="auto"/>
            <w:vAlign w:val="center"/>
          </w:tcPr>
          <w:p w14:paraId="7D027083">
            <w:pPr>
              <w:pStyle w:val="35"/>
              <w:rPr>
                <w:rFonts w:ascii="宋体" w:hAnsi="宋体" w:cs="宋体" w:eastAsiaTheme="minorEastAsia"/>
                <w:color w:val="auto"/>
                <w:kern w:val="2"/>
                <w:sz w:val="21"/>
                <w:szCs w:val="21"/>
                <w:highlight w:val="none"/>
                <w:lang w:val="en-US" w:eastAsia="zh-CN" w:bidi="ar-SA"/>
              </w:rPr>
            </w:pPr>
            <w:r>
              <w:rPr>
                <w:rFonts w:hint="eastAsia" w:ascii="宋体" w:hAnsi="宋体" w:cs="宋体" w:eastAsiaTheme="minorEastAsia"/>
                <w:color w:val="auto"/>
                <w:sz w:val="21"/>
                <w:szCs w:val="21"/>
                <w:highlight w:val="none"/>
              </w:rPr>
              <w:t>DN200</w:t>
            </w:r>
          </w:p>
        </w:tc>
      </w:tr>
      <w:tr w14:paraId="2BCD1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41" w:type="pct"/>
            <w:vMerge w:val="continue"/>
            <w:vAlign w:val="center"/>
          </w:tcPr>
          <w:p w14:paraId="12820EAA">
            <w:pPr>
              <w:pStyle w:val="35"/>
              <w:rPr>
                <w:rFonts w:ascii="宋体" w:hAnsi="宋体" w:cs="宋体" w:eastAsiaTheme="minorEastAsia"/>
                <w:color w:val="auto"/>
                <w:sz w:val="21"/>
                <w:szCs w:val="21"/>
                <w:highlight w:val="none"/>
              </w:rPr>
            </w:pPr>
          </w:p>
        </w:tc>
        <w:tc>
          <w:tcPr>
            <w:tcW w:w="946" w:type="pct"/>
            <w:vAlign w:val="center"/>
          </w:tcPr>
          <w:p w14:paraId="22794BB4">
            <w:pPr>
              <w:pStyle w:val="35"/>
              <w:rPr>
                <w:rFonts w:ascii="宋体" w:hAnsi="宋体" w:cs="宋体" w:eastAsiaTheme="minorEastAsia"/>
                <w:color w:val="auto"/>
                <w:sz w:val="21"/>
                <w:szCs w:val="21"/>
                <w:highlight w:val="none"/>
              </w:rPr>
            </w:pPr>
            <w:r>
              <w:rPr>
                <w:rFonts w:hint="eastAsia" w:ascii="宋体" w:hAnsi="宋体" w:cs="宋体" w:eastAsiaTheme="minorEastAsia"/>
                <w:color w:val="auto"/>
                <w:sz w:val="21"/>
                <w:szCs w:val="21"/>
                <w:highlight w:val="none"/>
              </w:rPr>
              <w:t>2.4*2.1-0.8</w:t>
            </w:r>
          </w:p>
        </w:tc>
        <w:tc>
          <w:tcPr>
            <w:tcW w:w="1011" w:type="pct"/>
            <w:vAlign w:val="center"/>
          </w:tcPr>
          <w:p w14:paraId="225A0EDC">
            <w:pPr>
              <w:pStyle w:val="35"/>
              <w:rPr>
                <w:rFonts w:ascii="宋体" w:hAnsi="宋体" w:cs="宋体" w:eastAsiaTheme="minorEastAsia"/>
                <w:color w:val="auto"/>
                <w:sz w:val="21"/>
                <w:szCs w:val="21"/>
                <w:highlight w:val="none"/>
              </w:rPr>
            </w:pPr>
            <w:r>
              <w:rPr>
                <w:rFonts w:hint="eastAsia" w:ascii="宋体" w:hAnsi="宋体" w:cs="宋体" w:eastAsiaTheme="minorEastAsia"/>
                <w:color w:val="auto"/>
                <w:sz w:val="21"/>
                <w:szCs w:val="21"/>
                <w:highlight w:val="none"/>
              </w:rPr>
              <w:t>16孔</w:t>
            </w:r>
          </w:p>
        </w:tc>
        <w:tc>
          <w:tcPr>
            <w:tcW w:w="831" w:type="pct"/>
            <w:vAlign w:val="center"/>
          </w:tcPr>
          <w:p w14:paraId="73F8D8EC">
            <w:pPr>
              <w:pStyle w:val="35"/>
              <w:rPr>
                <w:rFonts w:ascii="宋体" w:hAnsi="宋体" w:cs="宋体" w:eastAsiaTheme="minorEastAsia"/>
                <w:color w:val="auto"/>
                <w:sz w:val="21"/>
                <w:szCs w:val="21"/>
                <w:highlight w:val="none"/>
              </w:rPr>
            </w:pPr>
            <w:r>
              <w:rPr>
                <w:rFonts w:hint="eastAsia" w:ascii="宋体" w:hAnsi="宋体" w:cs="宋体" w:eastAsiaTheme="minorEastAsia"/>
                <w:color w:val="auto"/>
                <w:sz w:val="21"/>
                <w:szCs w:val="21"/>
                <w:highlight w:val="none"/>
              </w:rPr>
              <w:t>15孔</w:t>
            </w:r>
          </w:p>
        </w:tc>
        <w:tc>
          <w:tcPr>
            <w:tcW w:w="831" w:type="pct"/>
            <w:vAlign w:val="center"/>
          </w:tcPr>
          <w:p w14:paraId="2CA6CF1F">
            <w:pPr>
              <w:pStyle w:val="35"/>
              <w:rPr>
                <w:rFonts w:ascii="宋体" w:hAnsi="宋体" w:cs="宋体" w:eastAsiaTheme="minorEastAsia"/>
                <w:color w:val="auto"/>
                <w:sz w:val="21"/>
                <w:szCs w:val="21"/>
                <w:highlight w:val="none"/>
              </w:rPr>
            </w:pPr>
            <w:r>
              <w:rPr>
                <w:rFonts w:hint="eastAsia" w:ascii="宋体" w:hAnsi="宋体" w:cs="宋体" w:eastAsiaTheme="minorEastAsia"/>
                <w:color w:val="auto"/>
                <w:sz w:val="21"/>
                <w:szCs w:val="21"/>
                <w:highlight w:val="none"/>
              </w:rPr>
              <w:t>DN500</w:t>
            </w:r>
          </w:p>
        </w:tc>
        <w:tc>
          <w:tcPr>
            <w:tcW w:w="836" w:type="pct"/>
            <w:vAlign w:val="center"/>
          </w:tcPr>
          <w:p w14:paraId="166495A1">
            <w:pPr>
              <w:pStyle w:val="35"/>
              <w:rPr>
                <w:rFonts w:ascii="宋体" w:hAnsi="宋体" w:cs="宋体" w:eastAsiaTheme="minorEastAsia"/>
                <w:color w:val="auto"/>
                <w:sz w:val="21"/>
                <w:szCs w:val="21"/>
                <w:highlight w:val="none"/>
              </w:rPr>
            </w:pPr>
            <w:r>
              <w:rPr>
                <w:rFonts w:hint="eastAsia" w:ascii="宋体" w:hAnsi="宋体" w:cs="宋体" w:eastAsiaTheme="minorEastAsia"/>
                <w:color w:val="auto"/>
                <w:sz w:val="21"/>
                <w:szCs w:val="21"/>
                <w:highlight w:val="none"/>
              </w:rPr>
              <w:t>DN300</w:t>
            </w:r>
          </w:p>
        </w:tc>
      </w:tr>
    </w:tbl>
    <w:p w14:paraId="754266D5">
      <w:pPr>
        <w:spacing w:line="360" w:lineRule="auto"/>
        <w:rPr>
          <w:color w:val="auto"/>
          <w:highlight w:val="none"/>
        </w:rPr>
      </w:pPr>
      <w:r>
        <w:rPr>
          <w:rFonts w:hint="eastAsia" w:ascii="Times New Roman" w:hAnsi="Times New Roman" w:eastAsiaTheme="minorEastAsia"/>
          <w:color w:val="auto"/>
          <w:szCs w:val="24"/>
          <w:highlight w:val="none"/>
        </w:rPr>
        <w:t>注：1</w:t>
      </w:r>
      <w:r>
        <w:rPr>
          <w:rFonts w:ascii="Times New Roman" w:hAnsi="Times New Roman" w:eastAsiaTheme="minorEastAsia"/>
          <w:color w:val="auto"/>
          <w:szCs w:val="24"/>
          <w:highlight w:val="none"/>
        </w:rPr>
        <w:t>. A</w:t>
      </w:r>
      <w:r>
        <w:rPr>
          <w:rFonts w:hint="eastAsia" w:ascii="Times New Roman" w:hAnsi="Times New Roman" w:eastAsiaTheme="minorEastAsia"/>
          <w:color w:val="auto"/>
          <w:szCs w:val="24"/>
          <w:highlight w:val="none"/>
        </w:rPr>
        <w:t>为小型综合管廊净宽；</w:t>
      </w:r>
      <w:r>
        <w:rPr>
          <w:rFonts w:ascii="Times New Roman" w:hAnsi="Times New Roman" w:eastAsiaTheme="minorEastAsia"/>
          <w:color w:val="auto"/>
          <w:szCs w:val="24"/>
          <w:highlight w:val="none"/>
        </w:rPr>
        <w:t>B</w:t>
      </w:r>
      <w:r>
        <w:rPr>
          <w:rFonts w:hint="eastAsia" w:ascii="Times New Roman" w:hAnsi="Times New Roman" w:eastAsiaTheme="minorEastAsia"/>
          <w:color w:val="auto"/>
          <w:szCs w:val="24"/>
          <w:highlight w:val="none"/>
        </w:rPr>
        <w:t>为小型综合管廊净高；</w:t>
      </w:r>
      <w:r>
        <w:rPr>
          <w:rFonts w:ascii="Times New Roman" w:hAnsi="Times New Roman" w:eastAsiaTheme="minorEastAsia"/>
          <w:color w:val="auto"/>
          <w:szCs w:val="24"/>
          <w:highlight w:val="none"/>
        </w:rPr>
        <w:t>C</w:t>
      </w:r>
      <w:r>
        <w:rPr>
          <w:rFonts w:hint="eastAsia" w:ascii="Times New Roman" w:hAnsi="Times New Roman" w:eastAsiaTheme="minorEastAsia"/>
          <w:color w:val="auto"/>
          <w:szCs w:val="24"/>
          <w:highlight w:val="none"/>
        </w:rPr>
        <w:t>为通道宽度。2</w:t>
      </w:r>
      <w:r>
        <w:rPr>
          <w:rFonts w:ascii="Times New Roman" w:hAnsi="Times New Roman" w:eastAsiaTheme="minorEastAsia"/>
          <w:color w:val="auto"/>
          <w:szCs w:val="24"/>
          <w:highlight w:val="none"/>
        </w:rPr>
        <w:t xml:space="preserve">. </w:t>
      </w:r>
      <w:r>
        <w:rPr>
          <w:rFonts w:hint="eastAsia" w:ascii="Times New Roman" w:hAnsi="Times New Roman" w:eastAsiaTheme="minorEastAsia"/>
          <w:color w:val="auto"/>
          <w:szCs w:val="24"/>
          <w:highlight w:val="none"/>
        </w:rPr>
        <w:t>根据吊装及安装需求，局部段小型综合管廊断面可采用盖板式矩形断面。</w:t>
      </w:r>
    </w:p>
    <w:p w14:paraId="4826840A">
      <w:pPr>
        <w:adjustRightInd/>
        <w:spacing w:line="220" w:lineRule="atLeast"/>
        <w:jc w:val="center"/>
        <w:rPr>
          <w:highlight w:val="none"/>
        </w:rPr>
      </w:pPr>
      <w:r>
        <w:rPr>
          <w:highlight w:val="none"/>
        </w:rPr>
        <w:drawing>
          <wp:inline distT="0" distB="0" distL="114300" distR="114300">
            <wp:extent cx="3973830" cy="3599815"/>
            <wp:effectExtent l="0" t="0" r="7620" b="63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20"/>
                    <a:stretch>
                      <a:fillRect/>
                    </a:stretch>
                  </pic:blipFill>
                  <pic:spPr>
                    <a:xfrm>
                      <a:off x="0" y="0"/>
                      <a:ext cx="3973830" cy="3599815"/>
                    </a:xfrm>
                    <a:prstGeom prst="rect">
                      <a:avLst/>
                    </a:prstGeom>
                    <a:noFill/>
                    <a:ln>
                      <a:noFill/>
                    </a:ln>
                  </pic:spPr>
                </pic:pic>
              </a:graphicData>
            </a:graphic>
          </wp:inline>
        </w:drawing>
      </w:r>
    </w:p>
    <w:p w14:paraId="5ED9A0A6">
      <w:pPr>
        <w:adjustRightInd/>
        <w:spacing w:line="220" w:lineRule="atLeast"/>
        <w:jc w:val="center"/>
        <w:rPr>
          <w:highlight w:val="none"/>
        </w:rPr>
      </w:pPr>
      <w:r>
        <w:rPr>
          <w:rFonts w:hint="eastAsia"/>
          <w:highlight w:val="none"/>
        </w:rPr>
        <w:t>图</w:t>
      </w:r>
      <w:r>
        <w:rPr>
          <w:highlight w:val="none"/>
        </w:rPr>
        <w:t xml:space="preserve">B. 1  </w:t>
      </w:r>
      <w:r>
        <w:rPr>
          <w:rFonts w:hint="eastAsia"/>
          <w:highlight w:val="none"/>
        </w:rPr>
        <w:t>1.8m×1.6m标准横断面示意图</w:t>
      </w:r>
    </w:p>
    <w:p w14:paraId="574D6A5C">
      <w:pPr>
        <w:adjustRightInd/>
        <w:spacing w:line="220" w:lineRule="atLeast"/>
        <w:jc w:val="center"/>
        <w:rPr>
          <w:rFonts w:ascii="Times New Roman" w:hAnsi="Times New Roman" w:eastAsiaTheme="minorEastAsia"/>
          <w:sz w:val="28"/>
          <w:highlight w:val="none"/>
        </w:rPr>
      </w:pPr>
      <w:r>
        <w:rPr>
          <w:highlight w:val="none"/>
        </w:rPr>
        <w:drawing>
          <wp:inline distT="0" distB="0" distL="114300" distR="114300">
            <wp:extent cx="4319905" cy="3599815"/>
            <wp:effectExtent l="0" t="0" r="4445" b="635"/>
            <wp:docPr id="16" name="图片 5"/>
            <wp:cNvGraphicFramePr/>
            <a:graphic xmlns:a="http://schemas.openxmlformats.org/drawingml/2006/main">
              <a:graphicData uri="http://schemas.openxmlformats.org/drawingml/2006/picture">
                <pic:pic xmlns:pic="http://schemas.openxmlformats.org/drawingml/2006/picture">
                  <pic:nvPicPr>
                    <pic:cNvPr id="16" name="图片 5"/>
                    <pic:cNvPicPr/>
                  </pic:nvPicPr>
                  <pic:blipFill>
                    <a:blip r:embed="rId21"/>
                    <a:stretch>
                      <a:fillRect/>
                    </a:stretch>
                  </pic:blipFill>
                  <pic:spPr>
                    <a:xfrm>
                      <a:off x="0" y="0"/>
                      <a:ext cx="4319905" cy="3599815"/>
                    </a:xfrm>
                    <a:prstGeom prst="rect">
                      <a:avLst/>
                    </a:prstGeom>
                    <a:noFill/>
                    <a:ln>
                      <a:noFill/>
                    </a:ln>
                  </pic:spPr>
                </pic:pic>
              </a:graphicData>
            </a:graphic>
          </wp:inline>
        </w:drawing>
      </w:r>
    </w:p>
    <w:p w14:paraId="3EDD8A91">
      <w:pPr>
        <w:adjustRightInd/>
        <w:spacing w:line="220" w:lineRule="atLeast"/>
        <w:jc w:val="center"/>
        <w:rPr>
          <w:highlight w:val="none"/>
        </w:rPr>
      </w:pPr>
      <w:r>
        <w:rPr>
          <w:rFonts w:hint="eastAsia"/>
          <w:highlight w:val="none"/>
        </w:rPr>
        <w:t>图</w:t>
      </w:r>
      <w:r>
        <w:rPr>
          <w:highlight w:val="none"/>
        </w:rPr>
        <w:t xml:space="preserve">B.2  </w:t>
      </w:r>
      <w:r>
        <w:rPr>
          <w:rFonts w:hint="eastAsia"/>
          <w:highlight w:val="none"/>
        </w:rPr>
        <w:t>2.0m×1.6m标准横断面示意图</w:t>
      </w:r>
    </w:p>
    <w:p w14:paraId="32C54070">
      <w:pPr>
        <w:adjustRightInd/>
        <w:spacing w:line="220" w:lineRule="atLeast"/>
        <w:jc w:val="center"/>
        <w:rPr>
          <w:rFonts w:ascii="Times New Roman" w:hAnsi="Times New Roman" w:eastAsiaTheme="minorEastAsia"/>
          <w:sz w:val="28"/>
          <w:highlight w:val="none"/>
        </w:rPr>
      </w:pPr>
      <w:r>
        <w:rPr>
          <w:highlight w:val="none"/>
        </w:rPr>
        <w:drawing>
          <wp:inline distT="0" distB="0" distL="0" distR="0">
            <wp:extent cx="4319905" cy="3599815"/>
            <wp:effectExtent l="0" t="0" r="4445" b="635"/>
            <wp:docPr id="17" name="图片 1"/>
            <wp:cNvGraphicFramePr/>
            <a:graphic xmlns:a="http://schemas.openxmlformats.org/drawingml/2006/main">
              <a:graphicData uri="http://schemas.openxmlformats.org/drawingml/2006/picture">
                <pic:pic xmlns:pic="http://schemas.openxmlformats.org/drawingml/2006/picture">
                  <pic:nvPicPr>
                    <pic:cNvPr id="17" name="图片 1"/>
                    <pic:cNvPicPr/>
                  </pic:nvPicPr>
                  <pic:blipFill>
                    <a:blip r:embed="rId22"/>
                    <a:stretch>
                      <a:fillRect/>
                    </a:stretch>
                  </pic:blipFill>
                  <pic:spPr>
                    <a:xfrm>
                      <a:off x="0" y="0"/>
                      <a:ext cx="4319905" cy="3600000"/>
                    </a:xfrm>
                    <a:prstGeom prst="rect">
                      <a:avLst/>
                    </a:prstGeom>
                  </pic:spPr>
                </pic:pic>
              </a:graphicData>
            </a:graphic>
          </wp:inline>
        </w:drawing>
      </w:r>
    </w:p>
    <w:p w14:paraId="0F3DB16B">
      <w:pPr>
        <w:adjustRightInd/>
        <w:spacing w:line="220" w:lineRule="atLeast"/>
        <w:jc w:val="center"/>
        <w:rPr>
          <w:highlight w:val="none"/>
        </w:rPr>
      </w:pPr>
      <w:r>
        <w:rPr>
          <w:rFonts w:hint="eastAsia"/>
          <w:highlight w:val="none"/>
        </w:rPr>
        <w:t>图B. 3  1.8m×1.8m标准横断面示意图</w:t>
      </w:r>
    </w:p>
    <w:p w14:paraId="3D83FB34">
      <w:pPr>
        <w:adjustRightInd/>
        <w:spacing w:line="240" w:lineRule="auto"/>
        <w:jc w:val="center"/>
        <w:rPr>
          <w:highlight w:val="none"/>
        </w:rPr>
      </w:pPr>
      <w:r>
        <w:rPr>
          <w:highlight w:val="none"/>
        </w:rPr>
        <w:drawing>
          <wp:inline distT="0" distB="0" distL="0" distR="0">
            <wp:extent cx="4319905" cy="3599815"/>
            <wp:effectExtent l="0" t="0" r="4445" b="635"/>
            <wp:docPr id="500619538" name="图片 1"/>
            <wp:cNvGraphicFramePr/>
            <a:graphic xmlns:a="http://schemas.openxmlformats.org/drawingml/2006/main">
              <a:graphicData uri="http://schemas.openxmlformats.org/drawingml/2006/picture">
                <pic:pic xmlns:pic="http://schemas.openxmlformats.org/drawingml/2006/picture">
                  <pic:nvPicPr>
                    <pic:cNvPr id="500619538" name="图片 1"/>
                    <pic:cNvPicPr/>
                  </pic:nvPicPr>
                  <pic:blipFill>
                    <a:blip r:embed="rId23"/>
                    <a:stretch>
                      <a:fillRect/>
                    </a:stretch>
                  </pic:blipFill>
                  <pic:spPr>
                    <a:xfrm>
                      <a:off x="0" y="0"/>
                      <a:ext cx="4319905" cy="3600000"/>
                    </a:xfrm>
                    <a:prstGeom prst="rect">
                      <a:avLst/>
                    </a:prstGeom>
                  </pic:spPr>
                </pic:pic>
              </a:graphicData>
            </a:graphic>
          </wp:inline>
        </w:drawing>
      </w:r>
    </w:p>
    <w:p w14:paraId="0084C73E">
      <w:pPr>
        <w:adjustRightInd/>
        <w:spacing w:line="240" w:lineRule="auto"/>
        <w:jc w:val="center"/>
        <w:rPr>
          <w:highlight w:val="none"/>
        </w:rPr>
      </w:pPr>
      <w:r>
        <w:rPr>
          <w:rFonts w:hint="eastAsia"/>
          <w:highlight w:val="none"/>
        </w:rPr>
        <w:t>图B. 4  2.0m×1.8m标准横断面示意图</w:t>
      </w:r>
    </w:p>
    <w:p w14:paraId="3DCBBCF7">
      <w:pPr>
        <w:adjustRightInd/>
        <w:spacing w:line="240" w:lineRule="auto"/>
        <w:jc w:val="center"/>
        <w:rPr>
          <w:highlight w:val="none"/>
        </w:rPr>
      </w:pPr>
      <w:r>
        <w:rPr>
          <w:highlight w:val="none"/>
        </w:rPr>
        <w:drawing>
          <wp:inline distT="0" distB="0" distL="114300" distR="114300">
            <wp:extent cx="4612005" cy="3599815"/>
            <wp:effectExtent l="0" t="0" r="17145" b="635"/>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pic:cNvPicPr>
                      <a:picLocks noChangeAspect="1"/>
                    </pic:cNvPicPr>
                  </pic:nvPicPr>
                  <pic:blipFill>
                    <a:blip r:embed="rId24"/>
                    <a:stretch>
                      <a:fillRect/>
                    </a:stretch>
                  </pic:blipFill>
                  <pic:spPr>
                    <a:xfrm>
                      <a:off x="0" y="0"/>
                      <a:ext cx="4612005" cy="3599815"/>
                    </a:xfrm>
                    <a:prstGeom prst="rect">
                      <a:avLst/>
                    </a:prstGeom>
                    <a:noFill/>
                    <a:ln>
                      <a:noFill/>
                    </a:ln>
                  </pic:spPr>
                </pic:pic>
              </a:graphicData>
            </a:graphic>
          </wp:inline>
        </w:drawing>
      </w:r>
    </w:p>
    <w:p w14:paraId="6EC37B5C">
      <w:pPr>
        <w:adjustRightInd/>
        <w:spacing w:line="240" w:lineRule="auto"/>
        <w:jc w:val="center"/>
        <w:rPr>
          <w:color w:val="auto"/>
          <w:highlight w:val="none"/>
        </w:rPr>
      </w:pPr>
      <w:r>
        <w:rPr>
          <w:rFonts w:hint="eastAsia"/>
          <w:highlight w:val="none"/>
        </w:rPr>
        <w:t>图</w:t>
      </w:r>
      <w:r>
        <w:rPr>
          <w:highlight w:val="none"/>
        </w:rPr>
        <w:t>B.5  2.4m×2.1</w:t>
      </w:r>
      <w:r>
        <w:rPr>
          <w:rFonts w:hint="eastAsia"/>
          <w:highlight w:val="none"/>
        </w:rPr>
        <w:t>m标准横断面示意图</w:t>
      </w:r>
    </w:p>
    <w:p w14:paraId="5C607A1F">
      <w:pPr>
        <w:adjustRightInd/>
        <w:spacing w:line="240" w:lineRule="auto"/>
        <w:jc w:val="center"/>
        <w:rPr>
          <w:color w:val="auto"/>
          <w:highlight w:val="none"/>
        </w:rPr>
      </w:pPr>
    </w:p>
    <w:p w14:paraId="030488FB">
      <w:pPr>
        <w:pStyle w:val="2"/>
        <w:spacing w:before="240" w:after="240"/>
        <w:jc w:val="center"/>
        <w:rPr>
          <w:rFonts w:ascii="黑体" w:hAnsi="黑体" w:eastAsia="宋体"/>
          <w:b w:val="0"/>
          <w:bCs w:val="0"/>
          <w:color w:val="auto"/>
          <w:sz w:val="28"/>
          <w:szCs w:val="21"/>
          <w:highlight w:val="none"/>
        </w:rPr>
      </w:pPr>
      <w:bookmarkStart w:id="201" w:name="_Toc26975"/>
      <w:bookmarkStart w:id="202" w:name="_Toc5487"/>
      <w:bookmarkStart w:id="203" w:name="_Toc28377"/>
      <w:r>
        <w:rPr>
          <w:rFonts w:hint="eastAsia" w:ascii="黑体" w:hAnsi="黑体" w:eastAsia="宋体"/>
          <w:b w:val="0"/>
          <w:bCs w:val="0"/>
          <w:color w:val="auto"/>
          <w:sz w:val="28"/>
          <w:szCs w:val="21"/>
          <w:highlight w:val="none"/>
        </w:rPr>
        <w:t>引用标准名录</w:t>
      </w:r>
      <w:bookmarkEnd w:id="201"/>
      <w:bookmarkEnd w:id="202"/>
      <w:bookmarkEnd w:id="203"/>
    </w:p>
    <w:p w14:paraId="6007A853">
      <w:pPr>
        <w:ind w:firstLine="560"/>
        <w:rPr>
          <w:rFonts w:hint="eastAsia" w:ascii="宋体" w:hAnsi="宋体" w:cs="宋体"/>
          <w:color w:val="auto"/>
          <w:highlight w:val="none"/>
        </w:rPr>
      </w:pPr>
      <w:r>
        <w:rPr>
          <w:rFonts w:hint="eastAsia" w:ascii="宋体" w:hAnsi="宋体" w:cs="宋体"/>
          <w:color w:val="auto"/>
          <w:highlight w:val="none"/>
        </w:rPr>
        <w:t>《城市综合管廊工程技术标准》GB</w:t>
      </w:r>
      <w:r>
        <w:rPr>
          <w:rFonts w:hint="eastAsia" w:ascii="宋体" w:hAnsi="宋体" w:cs="宋体"/>
          <w:color w:val="auto"/>
          <w:highlight w:val="none"/>
          <w:lang w:val="en-US" w:eastAsia="zh-CN"/>
        </w:rPr>
        <w:t>/T</w:t>
      </w:r>
      <w:r>
        <w:rPr>
          <w:rFonts w:hint="eastAsia" w:ascii="宋体" w:hAnsi="宋体" w:cs="宋体"/>
          <w:color w:val="auto"/>
          <w:highlight w:val="none"/>
        </w:rPr>
        <w:t xml:space="preserve"> 50838 </w:t>
      </w:r>
    </w:p>
    <w:p w14:paraId="142DEDC7">
      <w:pPr>
        <w:ind w:firstLine="560"/>
        <w:rPr>
          <w:rFonts w:hint="eastAsia" w:ascii="宋体" w:hAnsi="宋体" w:eastAsia="宋体" w:cs="宋体"/>
          <w:color w:val="auto"/>
          <w:highlight w:val="none"/>
          <w:lang w:val="en-US" w:eastAsia="zh-CN"/>
        </w:rPr>
      </w:pPr>
      <w:r>
        <w:rPr>
          <w:rFonts w:hint="eastAsia" w:ascii="宋体" w:hAnsi="宋体" w:cs="宋体"/>
          <w:color w:val="auto"/>
          <w:highlight w:val="none"/>
          <w:lang w:eastAsia="zh-CN"/>
        </w:rPr>
        <w:t>《城市地下综合管廊运行维护及安全技术标准》</w:t>
      </w:r>
      <w:r>
        <w:rPr>
          <w:rFonts w:hint="eastAsia" w:ascii="宋体" w:hAnsi="宋体" w:cs="宋体"/>
          <w:color w:val="auto"/>
          <w:highlight w:val="none"/>
          <w:lang w:val="en-US" w:eastAsia="zh-CN"/>
        </w:rPr>
        <w:t>GB51354</w:t>
      </w:r>
    </w:p>
    <w:p w14:paraId="55DEB598">
      <w:pPr>
        <w:ind w:firstLine="560"/>
        <w:rPr>
          <w:rFonts w:hint="eastAsia" w:ascii="宋体" w:hAnsi="宋体" w:cs="宋体"/>
          <w:color w:val="auto"/>
          <w:highlight w:val="none"/>
        </w:rPr>
      </w:pPr>
      <w:r>
        <w:rPr>
          <w:rFonts w:hint="eastAsia" w:ascii="宋体" w:hAnsi="宋体" w:cs="宋体"/>
          <w:color w:val="auto"/>
          <w:highlight w:val="none"/>
          <w:lang w:val="en-US" w:eastAsia="zh-CN"/>
        </w:rPr>
        <w:t>《城市地下综合管廊运行维护技术规范》DB3502/Z 5028</w:t>
      </w:r>
    </w:p>
    <w:p w14:paraId="20D15944">
      <w:pPr>
        <w:ind w:firstLine="560"/>
        <w:rPr>
          <w:rFonts w:ascii="宋体" w:hAnsi="宋体" w:cs="宋体"/>
          <w:color w:val="auto"/>
          <w:highlight w:val="none"/>
        </w:rPr>
      </w:pPr>
      <w:r>
        <w:rPr>
          <w:rFonts w:hint="eastAsia" w:ascii="宋体" w:hAnsi="宋体" w:cs="宋体"/>
          <w:color w:val="auto"/>
          <w:highlight w:val="none"/>
        </w:rPr>
        <w:t xml:space="preserve">《电力工程电缆设计标准》GB 50217 </w:t>
      </w:r>
    </w:p>
    <w:p w14:paraId="1A5A3968">
      <w:pPr>
        <w:ind w:firstLine="560"/>
        <w:rPr>
          <w:rFonts w:ascii="宋体" w:hAnsi="宋体" w:cs="宋体"/>
          <w:color w:val="auto"/>
          <w:highlight w:val="none"/>
        </w:rPr>
      </w:pPr>
      <w:r>
        <w:rPr>
          <w:rFonts w:hint="eastAsia" w:ascii="宋体" w:hAnsi="宋体" w:cs="宋体"/>
          <w:color w:val="auto"/>
          <w:highlight w:val="none"/>
        </w:rPr>
        <w:t xml:space="preserve">《通信线路工程设计规范》GB 51158 </w:t>
      </w:r>
    </w:p>
    <w:p w14:paraId="12590AFF">
      <w:pPr>
        <w:ind w:firstLine="560"/>
        <w:rPr>
          <w:rFonts w:ascii="宋体" w:hAnsi="宋体" w:cs="宋体"/>
          <w:color w:val="auto"/>
          <w:highlight w:val="none"/>
        </w:rPr>
      </w:pPr>
      <w:r>
        <w:rPr>
          <w:rFonts w:hint="eastAsia" w:ascii="宋体" w:hAnsi="宋体" w:cs="宋体"/>
          <w:color w:val="auto"/>
          <w:highlight w:val="none"/>
        </w:rPr>
        <w:t>《通信管道与通道工程设计标准》GB50373</w:t>
      </w:r>
    </w:p>
    <w:p w14:paraId="7D07A5A9">
      <w:pPr>
        <w:ind w:firstLine="560"/>
        <w:rPr>
          <w:rFonts w:ascii="宋体" w:hAnsi="宋体" w:cs="宋体"/>
          <w:color w:val="auto"/>
          <w:highlight w:val="none"/>
        </w:rPr>
      </w:pPr>
      <w:r>
        <w:rPr>
          <w:rFonts w:hint="eastAsia" w:ascii="宋体" w:hAnsi="宋体" w:cs="宋体"/>
          <w:color w:val="auto"/>
          <w:highlight w:val="none"/>
        </w:rPr>
        <w:t>《城市工程管线综合规划规范》GB50289</w:t>
      </w:r>
    </w:p>
    <w:p w14:paraId="296B3A1C">
      <w:pPr>
        <w:ind w:firstLine="560"/>
        <w:rPr>
          <w:rFonts w:ascii="宋体" w:hAnsi="宋体" w:cs="宋体"/>
          <w:color w:val="auto"/>
          <w:highlight w:val="none"/>
        </w:rPr>
      </w:pPr>
      <w:r>
        <w:rPr>
          <w:rFonts w:hint="eastAsia" w:ascii="宋体" w:hAnsi="宋体" w:cs="宋体"/>
          <w:color w:val="auto"/>
          <w:highlight w:val="none"/>
        </w:rPr>
        <w:t>《室外给水设计标准》GB50013</w:t>
      </w:r>
    </w:p>
    <w:p w14:paraId="1EF92572">
      <w:pPr>
        <w:ind w:firstLine="560"/>
        <w:rPr>
          <w:rFonts w:ascii="宋体" w:hAnsi="宋体" w:cs="宋体"/>
          <w:color w:val="auto"/>
          <w:highlight w:val="none"/>
        </w:rPr>
      </w:pPr>
      <w:r>
        <w:rPr>
          <w:rFonts w:hint="eastAsia" w:ascii="宋体" w:hAnsi="宋体" w:cs="宋体"/>
          <w:color w:val="auto"/>
          <w:highlight w:val="none"/>
        </w:rPr>
        <w:t>《室外排水设计标准》GB50014</w:t>
      </w:r>
    </w:p>
    <w:p w14:paraId="695A552E">
      <w:pPr>
        <w:ind w:firstLine="560"/>
        <w:rPr>
          <w:rFonts w:ascii="宋体" w:hAnsi="宋体" w:cs="宋体"/>
          <w:color w:val="auto"/>
          <w:highlight w:val="none"/>
        </w:rPr>
      </w:pPr>
      <w:r>
        <w:rPr>
          <w:rFonts w:hint="eastAsia" w:ascii="宋体" w:hAnsi="宋体" w:cs="宋体"/>
          <w:color w:val="auto"/>
          <w:highlight w:val="none"/>
        </w:rPr>
        <w:t>《城镇燃气设计规范》GB50028</w:t>
      </w:r>
    </w:p>
    <w:p w14:paraId="4982A817">
      <w:pPr>
        <w:spacing w:line="360" w:lineRule="auto"/>
        <w:ind w:firstLine="560"/>
        <w:rPr>
          <w:rFonts w:ascii="宋体" w:hAnsi="宋体" w:cs="宋体"/>
          <w:color w:val="auto"/>
          <w:highlight w:val="none"/>
        </w:rPr>
      </w:pPr>
      <w:r>
        <w:rPr>
          <w:rFonts w:hint="eastAsia" w:ascii="宋体" w:hAnsi="宋体" w:cs="宋体"/>
          <w:color w:val="auto"/>
          <w:highlight w:val="none"/>
        </w:rPr>
        <w:t>《通信线路工程设计规范》YD 5102</w:t>
      </w:r>
    </w:p>
    <w:p w14:paraId="34776727">
      <w:pPr>
        <w:spacing w:line="360" w:lineRule="auto"/>
        <w:ind w:firstLine="560"/>
        <w:rPr>
          <w:rFonts w:ascii="宋体" w:hAnsi="宋体" w:cs="宋体"/>
          <w:color w:val="auto"/>
          <w:highlight w:val="none"/>
        </w:rPr>
      </w:pPr>
      <w:r>
        <w:rPr>
          <w:rFonts w:hint="eastAsia" w:ascii="宋体" w:hAnsi="宋体" w:cs="宋体"/>
          <w:color w:val="auto"/>
          <w:highlight w:val="none"/>
        </w:rPr>
        <w:t>《光缆进线室设计规定》YD/T 5151</w:t>
      </w:r>
    </w:p>
    <w:p w14:paraId="63BD131D">
      <w:pPr>
        <w:ind w:firstLine="560"/>
        <w:rPr>
          <w:rFonts w:ascii="宋体" w:hAnsi="宋体" w:cs="宋体"/>
          <w:color w:val="auto"/>
          <w:highlight w:val="none"/>
        </w:rPr>
      </w:pPr>
      <w:r>
        <w:rPr>
          <w:rFonts w:hint="eastAsia" w:ascii="宋体" w:hAnsi="宋体" w:cs="宋体"/>
          <w:color w:val="auto"/>
          <w:highlight w:val="none"/>
        </w:rPr>
        <w:t>《水及燃气用球墨铸铁管、管件和附件》GB/T13295</w:t>
      </w:r>
    </w:p>
    <w:p w14:paraId="67933878">
      <w:pPr>
        <w:ind w:firstLine="560"/>
        <w:rPr>
          <w:rFonts w:ascii="宋体" w:hAnsi="宋体" w:cs="宋体"/>
          <w:color w:val="auto"/>
          <w:highlight w:val="none"/>
        </w:rPr>
      </w:pPr>
      <w:r>
        <w:rPr>
          <w:rFonts w:hint="eastAsia" w:ascii="宋体" w:hAnsi="宋体" w:cs="宋体"/>
          <w:color w:val="auto"/>
          <w:highlight w:val="none"/>
        </w:rPr>
        <w:t>《阻燃和耐火电线电缆或光缆通则》GB/T 19666</w:t>
      </w:r>
    </w:p>
    <w:p w14:paraId="15EA33E1">
      <w:pPr>
        <w:ind w:firstLine="560"/>
        <w:rPr>
          <w:rFonts w:ascii="宋体" w:hAnsi="宋体" w:cs="宋体"/>
          <w:color w:val="auto"/>
          <w:highlight w:val="none"/>
        </w:rPr>
      </w:pPr>
      <w:r>
        <w:rPr>
          <w:rFonts w:hint="eastAsia" w:ascii="宋体" w:hAnsi="宋体" w:cs="宋体"/>
          <w:color w:val="auto"/>
          <w:highlight w:val="none"/>
        </w:rPr>
        <w:t>《电缆及光缆燃烧性能分级》GB 31247-2014</w:t>
      </w:r>
    </w:p>
    <w:p w14:paraId="54D501E0">
      <w:pPr>
        <w:ind w:firstLine="560"/>
        <w:rPr>
          <w:rFonts w:ascii="宋体" w:hAnsi="宋体" w:cs="宋体"/>
          <w:color w:val="auto"/>
          <w:highlight w:val="none"/>
        </w:rPr>
      </w:pPr>
      <w:r>
        <w:rPr>
          <w:rFonts w:hint="eastAsia" w:ascii="宋体" w:hAnsi="宋体" w:cs="宋体"/>
          <w:color w:val="auto"/>
          <w:highlight w:val="none"/>
        </w:rPr>
        <w:t xml:space="preserve">《电力电缆隧道设计规程》DL/T 5484 </w:t>
      </w:r>
    </w:p>
    <w:p w14:paraId="0AB5BEA0">
      <w:pPr>
        <w:ind w:firstLine="560"/>
        <w:rPr>
          <w:rFonts w:ascii="宋体" w:hAnsi="宋体" w:cs="宋体"/>
          <w:color w:val="auto"/>
          <w:highlight w:val="none"/>
        </w:rPr>
      </w:pPr>
      <w:r>
        <w:rPr>
          <w:rFonts w:hint="eastAsia" w:ascii="宋体" w:hAnsi="宋体" w:cs="宋体"/>
          <w:color w:val="auto"/>
          <w:highlight w:val="none"/>
        </w:rPr>
        <w:t>《阻燃及耐火电缆塑料绝缘阻燃及耐火电缆分级和要求 第1部分:阻燃电缆》</w:t>
      </w:r>
      <w:r>
        <w:rPr>
          <w:rStyle w:val="13"/>
          <w:rFonts w:hint="eastAsia" w:ascii="宋体" w:hAnsi="宋体" w:eastAsia="宋体" w:cs="宋体"/>
          <w:i w:val="0"/>
          <w:iCs w:val="0"/>
          <w:caps w:val="0"/>
          <w:color w:val="auto"/>
          <w:spacing w:val="0"/>
          <w:sz w:val="21"/>
          <w:szCs w:val="21"/>
          <w:highlight w:val="none"/>
          <w:shd w:val="clear" w:fill="FFFFFF"/>
        </w:rPr>
        <w:t>XF</w:t>
      </w:r>
      <w:r>
        <w:rPr>
          <w:rFonts w:hint="eastAsia" w:ascii="宋体" w:hAnsi="宋体" w:cs="宋体"/>
          <w:color w:val="auto"/>
          <w:highlight w:val="none"/>
        </w:rPr>
        <w:t xml:space="preserve"> 306.1 </w:t>
      </w:r>
    </w:p>
    <w:p w14:paraId="795EC834">
      <w:pPr>
        <w:ind w:firstLine="560"/>
        <w:rPr>
          <w:rFonts w:ascii="宋体" w:hAnsi="宋体" w:cs="宋体"/>
          <w:color w:val="auto"/>
          <w:highlight w:val="none"/>
        </w:rPr>
      </w:pPr>
      <w:r>
        <w:rPr>
          <w:rFonts w:hint="eastAsia" w:ascii="宋体" w:hAnsi="宋体" w:cs="宋体"/>
          <w:color w:val="auto"/>
          <w:highlight w:val="none"/>
        </w:rPr>
        <w:t>《阻燃及耐火电缆 塑料绝缘阻燃及耐火电缆分级和要求第 2部分:耐火电缆》</w:t>
      </w:r>
      <w:r>
        <w:rPr>
          <w:rStyle w:val="13"/>
          <w:rFonts w:hint="eastAsia" w:ascii="宋体" w:hAnsi="宋体" w:eastAsia="宋体" w:cs="宋体"/>
          <w:i w:val="0"/>
          <w:iCs w:val="0"/>
          <w:caps w:val="0"/>
          <w:color w:val="auto"/>
          <w:spacing w:val="0"/>
          <w:sz w:val="21"/>
          <w:szCs w:val="21"/>
          <w:highlight w:val="none"/>
          <w:shd w:val="clear" w:fill="FFFFFF"/>
        </w:rPr>
        <w:t>XF</w:t>
      </w:r>
      <w:r>
        <w:rPr>
          <w:rFonts w:hint="eastAsia" w:ascii="宋体" w:hAnsi="宋体" w:cs="宋体"/>
          <w:color w:val="auto"/>
          <w:highlight w:val="none"/>
        </w:rPr>
        <w:t xml:space="preserve"> 306.2</w:t>
      </w:r>
    </w:p>
    <w:p w14:paraId="4433690D">
      <w:pPr>
        <w:ind w:firstLine="560"/>
        <w:rPr>
          <w:rFonts w:ascii="宋体" w:hAnsi="宋体" w:cs="宋体"/>
          <w:color w:val="auto"/>
          <w:highlight w:val="none"/>
        </w:rPr>
      </w:pPr>
      <w:r>
        <w:rPr>
          <w:rFonts w:hint="eastAsia" w:ascii="宋体" w:hAnsi="宋体" w:cs="宋体"/>
          <w:color w:val="auto"/>
          <w:highlight w:val="none"/>
        </w:rPr>
        <w:t>《建筑地基基础设计规范》GB5007</w:t>
      </w:r>
    </w:p>
    <w:p w14:paraId="035202CD">
      <w:pPr>
        <w:ind w:firstLine="560"/>
        <w:rPr>
          <w:rFonts w:ascii="宋体" w:hAnsi="宋体" w:cs="宋体"/>
          <w:color w:val="auto"/>
          <w:highlight w:val="none"/>
        </w:rPr>
      </w:pPr>
      <w:r>
        <w:rPr>
          <w:rFonts w:hint="eastAsia" w:ascii="宋体" w:hAnsi="宋体" w:cs="宋体"/>
          <w:color w:val="auto"/>
          <w:highlight w:val="none"/>
        </w:rPr>
        <w:t>《建筑结构荷载规范》GB5009</w:t>
      </w:r>
    </w:p>
    <w:p w14:paraId="7C42153C">
      <w:pPr>
        <w:ind w:firstLine="560"/>
        <w:rPr>
          <w:rFonts w:ascii="宋体" w:hAnsi="宋体" w:cs="宋体"/>
          <w:color w:val="auto"/>
          <w:highlight w:val="none"/>
        </w:rPr>
      </w:pPr>
      <w:r>
        <w:rPr>
          <w:rFonts w:hint="eastAsia" w:ascii="宋体" w:hAnsi="宋体" w:cs="宋体"/>
          <w:color w:val="auto"/>
          <w:highlight w:val="none"/>
        </w:rPr>
        <w:t>《混凝土结构设计标准》GB50010</w:t>
      </w:r>
    </w:p>
    <w:p w14:paraId="0E35A9CB">
      <w:pPr>
        <w:ind w:firstLine="560"/>
        <w:rPr>
          <w:rFonts w:ascii="宋体" w:hAnsi="宋体" w:cs="宋体"/>
          <w:color w:val="auto"/>
          <w:highlight w:val="none"/>
        </w:rPr>
      </w:pPr>
      <w:r>
        <w:rPr>
          <w:rFonts w:hint="eastAsia" w:ascii="宋体" w:hAnsi="宋体" w:cs="宋体"/>
          <w:color w:val="auto"/>
          <w:highlight w:val="none"/>
        </w:rPr>
        <w:t>《建筑抗震设计标准》GB50011</w:t>
      </w:r>
    </w:p>
    <w:p w14:paraId="3BBF990D">
      <w:pPr>
        <w:ind w:firstLine="560"/>
        <w:rPr>
          <w:rFonts w:ascii="宋体" w:hAnsi="宋体" w:cs="宋体"/>
          <w:color w:val="auto"/>
          <w:highlight w:val="none"/>
        </w:rPr>
      </w:pPr>
      <w:r>
        <w:rPr>
          <w:rFonts w:hint="eastAsia" w:ascii="宋体" w:hAnsi="宋体" w:cs="宋体"/>
          <w:color w:val="auto"/>
          <w:highlight w:val="none"/>
        </w:rPr>
        <w:t>《地下工程防水技术规范》GB50108</w:t>
      </w:r>
    </w:p>
    <w:p w14:paraId="405F6C6D">
      <w:pPr>
        <w:ind w:firstLine="560"/>
        <w:rPr>
          <w:rFonts w:ascii="宋体" w:hAnsi="宋体" w:cs="宋体"/>
          <w:color w:val="auto"/>
          <w:highlight w:val="none"/>
        </w:rPr>
      </w:pPr>
      <w:r>
        <w:rPr>
          <w:rFonts w:hint="eastAsia" w:ascii="宋体" w:hAnsi="宋体" w:cs="宋体"/>
          <w:color w:val="auto"/>
          <w:highlight w:val="none"/>
        </w:rPr>
        <w:t>《建筑工程抗浮技术标准》JGJ476</w:t>
      </w:r>
    </w:p>
    <w:p w14:paraId="27CF703C">
      <w:pPr>
        <w:spacing w:line="360" w:lineRule="auto"/>
        <w:ind w:firstLine="560"/>
        <w:rPr>
          <w:rFonts w:ascii="宋体" w:hAnsi="宋体" w:cs="宋体"/>
          <w:color w:val="auto"/>
          <w:highlight w:val="none"/>
        </w:rPr>
      </w:pPr>
      <w:r>
        <w:rPr>
          <w:rFonts w:hint="eastAsia" w:ascii="宋体" w:hAnsi="宋体" w:cs="宋体"/>
          <w:color w:val="auto"/>
          <w:highlight w:val="none"/>
        </w:rPr>
        <w:t xml:space="preserve">《建筑地基基础工程施工质量验收标准》GB 50202 </w:t>
      </w:r>
    </w:p>
    <w:p w14:paraId="5C117115">
      <w:pPr>
        <w:spacing w:line="360" w:lineRule="auto"/>
        <w:ind w:firstLine="560"/>
        <w:rPr>
          <w:rFonts w:ascii="宋体" w:hAnsi="宋体" w:cs="宋体"/>
          <w:color w:val="auto"/>
          <w:highlight w:val="none"/>
        </w:rPr>
      </w:pPr>
      <w:r>
        <w:rPr>
          <w:rFonts w:hint="eastAsia" w:ascii="宋体" w:hAnsi="宋体" w:cs="宋体"/>
          <w:color w:val="auto"/>
          <w:highlight w:val="none"/>
        </w:rPr>
        <w:t>《混凝土结构工程施工质量验收规范》GB 50204</w:t>
      </w:r>
    </w:p>
    <w:p w14:paraId="242C10D1">
      <w:pPr>
        <w:spacing w:line="360" w:lineRule="auto"/>
        <w:ind w:firstLine="560"/>
        <w:rPr>
          <w:rFonts w:ascii="宋体" w:hAnsi="宋体" w:cs="宋体"/>
          <w:color w:val="auto"/>
          <w:highlight w:val="none"/>
        </w:rPr>
      </w:pPr>
      <w:r>
        <w:rPr>
          <w:rFonts w:hint="eastAsia" w:ascii="宋体" w:hAnsi="宋体" w:cs="宋体"/>
          <w:color w:val="auto"/>
          <w:highlight w:val="none"/>
        </w:rPr>
        <w:t>《地下防水工程质量验收规范》GB 50208</w:t>
      </w:r>
    </w:p>
    <w:p w14:paraId="498DE1C4">
      <w:pPr>
        <w:spacing w:line="360" w:lineRule="auto"/>
        <w:ind w:firstLine="560"/>
        <w:rPr>
          <w:rFonts w:ascii="宋体" w:hAnsi="宋体" w:cs="宋体"/>
          <w:color w:val="auto"/>
          <w:highlight w:val="none"/>
        </w:rPr>
      </w:pPr>
      <w:r>
        <w:rPr>
          <w:rFonts w:hint="eastAsia" w:ascii="宋体" w:hAnsi="宋体" w:cs="宋体"/>
          <w:color w:val="auto"/>
          <w:highlight w:val="none"/>
        </w:rPr>
        <w:t xml:space="preserve">《电气装置安装工程电缆线路施工及验收标准》GB 50168 </w:t>
      </w:r>
    </w:p>
    <w:p w14:paraId="631AECC0">
      <w:pPr>
        <w:spacing w:line="360" w:lineRule="auto"/>
        <w:ind w:firstLine="560"/>
        <w:rPr>
          <w:rFonts w:ascii="宋体" w:hAnsi="宋体" w:cs="宋体"/>
          <w:color w:val="auto"/>
          <w:highlight w:val="none"/>
        </w:rPr>
      </w:pPr>
      <w:r>
        <w:rPr>
          <w:rFonts w:hint="eastAsia" w:ascii="宋体" w:hAnsi="宋体" w:cs="宋体"/>
          <w:color w:val="auto"/>
          <w:highlight w:val="none"/>
        </w:rPr>
        <w:t xml:space="preserve">《电气装置安装工程接地装置施工及验收规范》GB 50169 </w:t>
      </w:r>
    </w:p>
    <w:p w14:paraId="1AF965B5">
      <w:pPr>
        <w:spacing w:line="360" w:lineRule="auto"/>
        <w:ind w:firstLine="560"/>
        <w:rPr>
          <w:rFonts w:ascii="宋体" w:hAnsi="宋体" w:cs="宋体"/>
          <w:color w:val="auto"/>
          <w:highlight w:val="none"/>
        </w:rPr>
      </w:pPr>
      <w:r>
        <w:rPr>
          <w:rFonts w:hint="eastAsia" w:ascii="宋体" w:hAnsi="宋体" w:cs="宋体"/>
          <w:color w:val="auto"/>
          <w:highlight w:val="none"/>
        </w:rPr>
        <w:t>《综合布线系统工程验收规范》GB/T 50312</w:t>
      </w:r>
    </w:p>
    <w:p w14:paraId="6CBF9011">
      <w:pPr>
        <w:spacing w:line="360" w:lineRule="auto"/>
        <w:ind w:firstLine="560"/>
        <w:rPr>
          <w:rFonts w:ascii="宋体" w:hAnsi="宋体" w:cs="宋体"/>
          <w:color w:val="auto"/>
          <w:highlight w:val="none"/>
        </w:rPr>
      </w:pPr>
      <w:r>
        <w:rPr>
          <w:rFonts w:hint="eastAsia" w:ascii="宋体" w:hAnsi="宋体" w:cs="宋体"/>
          <w:color w:val="auto"/>
          <w:highlight w:val="none"/>
        </w:rPr>
        <w:t>《通信线路工程验收规范》GB 51171</w:t>
      </w:r>
    </w:p>
    <w:p w14:paraId="0C06C8AD">
      <w:pPr>
        <w:ind w:firstLine="560"/>
        <w:rPr>
          <w:rFonts w:ascii="宋体" w:hAnsi="宋体" w:cs="宋体"/>
          <w:color w:val="auto"/>
          <w:highlight w:val="none"/>
        </w:rPr>
      </w:pPr>
      <w:r>
        <w:rPr>
          <w:rFonts w:hint="eastAsia" w:ascii="宋体" w:hAnsi="宋体" w:cs="宋体"/>
          <w:color w:val="auto"/>
          <w:highlight w:val="none"/>
        </w:rPr>
        <w:t>《给水排水管道工程施工及验收规范》GB50268</w:t>
      </w:r>
    </w:p>
    <w:p w14:paraId="7B4D48EB">
      <w:pPr>
        <w:spacing w:line="360" w:lineRule="auto"/>
        <w:ind w:firstLine="560"/>
        <w:rPr>
          <w:rFonts w:ascii="宋体" w:hAnsi="宋体" w:cs="宋体"/>
          <w:color w:val="auto"/>
          <w:highlight w:val="none"/>
        </w:rPr>
      </w:pPr>
      <w:r>
        <w:rPr>
          <w:rFonts w:hint="eastAsia" w:ascii="宋体" w:hAnsi="宋体" w:cs="宋体"/>
          <w:color w:val="auto"/>
          <w:highlight w:val="none"/>
        </w:rPr>
        <w:t>《光缆进线室验收规定》YD/T 5152</w:t>
      </w:r>
    </w:p>
    <w:p w14:paraId="5EF368CA">
      <w:pPr>
        <w:spacing w:line="360" w:lineRule="auto"/>
        <w:ind w:firstLine="560"/>
        <w:rPr>
          <w:rFonts w:ascii="宋体" w:hAnsi="宋体" w:cs="宋体"/>
          <w:color w:val="auto"/>
          <w:highlight w:val="none"/>
        </w:rPr>
      </w:pPr>
      <w:r>
        <w:rPr>
          <w:rFonts w:hint="eastAsia" w:ascii="宋体" w:hAnsi="宋体" w:cs="宋体"/>
          <w:color w:val="auto"/>
          <w:highlight w:val="none"/>
        </w:rPr>
        <w:t>《电力安全工作规程》GB 26859</w:t>
      </w:r>
    </w:p>
    <w:p w14:paraId="3B07EC51">
      <w:pPr>
        <w:spacing w:line="360" w:lineRule="auto"/>
        <w:ind w:firstLine="560"/>
        <w:rPr>
          <w:rFonts w:ascii="宋体" w:hAnsi="宋体" w:cs="宋体"/>
          <w:color w:val="auto"/>
          <w:highlight w:val="none"/>
        </w:rPr>
      </w:pPr>
      <w:r>
        <w:rPr>
          <w:rFonts w:hint="eastAsia" w:ascii="宋体" w:hAnsi="宋体" w:cs="宋体"/>
          <w:color w:val="auto"/>
          <w:highlight w:val="none"/>
        </w:rPr>
        <w:t>《电力电缆线路运行规程》DL/T 1253</w:t>
      </w:r>
    </w:p>
    <w:p w14:paraId="3A01BE96">
      <w:pPr>
        <w:spacing w:line="360" w:lineRule="auto"/>
        <w:ind w:firstLine="560"/>
        <w:rPr>
          <w:rFonts w:ascii="宋体" w:hAnsi="宋体" w:cs="宋体"/>
          <w:color w:val="auto"/>
          <w:highlight w:val="none"/>
        </w:rPr>
      </w:pPr>
      <w:r>
        <w:rPr>
          <w:rFonts w:hint="eastAsia" w:ascii="宋体" w:hAnsi="宋体" w:cs="宋体"/>
          <w:color w:val="auto"/>
          <w:highlight w:val="none"/>
        </w:rPr>
        <w:t>《电力电缆分布式光纤测温系统技术规范》DL/T 1573</w:t>
      </w:r>
    </w:p>
    <w:p w14:paraId="6FF94E31">
      <w:pPr>
        <w:spacing w:line="360" w:lineRule="auto"/>
        <w:ind w:firstLine="560"/>
        <w:rPr>
          <w:rFonts w:ascii="宋体" w:hAnsi="宋体" w:cs="宋体"/>
          <w:color w:val="auto"/>
          <w:highlight w:val="none"/>
        </w:rPr>
      </w:pPr>
      <w:r>
        <w:rPr>
          <w:rFonts w:hint="eastAsia" w:ascii="宋体" w:hAnsi="宋体" w:cs="宋体"/>
          <w:color w:val="auto"/>
          <w:highlight w:val="none"/>
        </w:rPr>
        <w:t>《城镇供水管网运行、维护及安全技术规程》CJJ 207</w:t>
      </w:r>
    </w:p>
    <w:p w14:paraId="4A399580">
      <w:pPr>
        <w:pStyle w:val="20"/>
        <w:ind w:firstLine="420"/>
        <w:rPr>
          <w:color w:val="auto"/>
          <w:highlight w:val="none"/>
        </w:rPr>
      </w:pPr>
    </w:p>
    <w:p w14:paraId="3097C3C0">
      <w:pPr>
        <w:adjustRightInd/>
        <w:rPr>
          <w:rFonts w:ascii="Times New Roman" w:hAnsi="Times New Roman"/>
          <w:bCs/>
          <w:color w:val="auto"/>
          <w:sz w:val="32"/>
          <w:szCs w:val="32"/>
          <w:highlight w:val="none"/>
        </w:rPr>
      </w:pPr>
    </w:p>
    <w:p w14:paraId="502A5870">
      <w:pPr>
        <w:ind w:firstLine="567"/>
        <w:rPr>
          <w:rFonts w:ascii="Times New Roman" w:hAnsi="Times New Roman"/>
          <w:color w:val="auto"/>
          <w:highlight w:val="none"/>
        </w:rPr>
      </w:pPr>
    </w:p>
    <w:p w14:paraId="3368C8B5">
      <w:pPr>
        <w:rPr>
          <w:rFonts w:hAnsi="宋体"/>
          <w:color w:val="auto"/>
          <w:highlight w:val="none"/>
        </w:rPr>
      </w:pPr>
    </w:p>
    <w:sectPr>
      <w:pgSz w:w="11906" w:h="16838"/>
      <w:pgMar w:top="2551" w:right="1134" w:bottom="1134" w:left="1134" w:header="851" w:footer="992" w:gutter="283"/>
      <w:cols w:space="0" w:num="1"/>
      <w:rtlGutter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E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Helvetica">
    <w:panose1 w:val="020B0504020202030204"/>
    <w:charset w:val="00"/>
    <w:family w:val="swiss"/>
    <w:pitch w:val="default"/>
    <w:sig w:usb0="00000007" w:usb1="00000000" w:usb2="00000000" w:usb3="00000000" w:csb0="00000093"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6F4A14">
    <w:pPr>
      <w:pStyle w:val="7"/>
    </w:pPr>
    <w:r>
      <w:fldChar w:fldCharType="begin"/>
    </w:r>
    <w:r>
      <w:instrText xml:space="preserve">PAGE   \* MERGEFORMAT</w:instrText>
    </w:r>
    <w:r>
      <w:fldChar w:fldCharType="separate"/>
    </w:r>
    <w:r>
      <w:rPr>
        <w:lang w:val="zh-CN"/>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4A37E9">
    <w:pPr>
      <w:pStyle w:val="7"/>
      <w:ind w:right="720"/>
      <w:jc w:val="both"/>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999761">
    <w:pPr>
      <w:pStyle w:val="33"/>
    </w:pPr>
    <w:r>
      <w:fldChar w:fldCharType="begin"/>
    </w:r>
    <w:r>
      <w:instrText xml:space="preserve">PAGE   \* MERGEFORMAT</w:instrText>
    </w:r>
    <w:r>
      <w:fldChar w:fldCharType="separate"/>
    </w:r>
    <w:r>
      <w:rPr>
        <w:lang w:val="zh-CN"/>
      </w:rPr>
      <w:t>21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80DFB5">
    <w:pPr>
      <w:pStyle w:val="8"/>
      <w:wordWrap w:val="0"/>
      <w:jc w:val="right"/>
      <w:rPr>
        <w:rFonts w:ascii="黑体" w:hAnsi="黑体" w:eastAsia="黑体"/>
      </w:rPr>
    </w:pPr>
    <w:r>
      <w:rPr>
        <w:rFonts w:ascii="黑体" w:hAnsi="黑体" w:eastAsia="黑体"/>
      </w:rPr>
      <w:t>Q/LB.</w:t>
    </w:r>
    <w:r>
      <w:rPr>
        <w:rFonts w:hint="eastAsia" w:ascii="黑体" w:hAnsi="黑体" w:eastAsia="黑体"/>
      </w:rPr>
      <w:t>□</w:t>
    </w:r>
    <w:r>
      <w:rPr>
        <w:rFonts w:ascii="黑体" w:hAnsi="黑体" w:eastAsia="黑体"/>
      </w:rPr>
      <w:t>XXXXX-XXXX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A5B6A9">
    <w:pPr>
      <w:pStyle w:val="8"/>
      <w:jc w:val="both"/>
      <w:rPr>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77B4F9">
    <w:pPr>
      <w:pStyle w:val="32"/>
    </w:pPr>
    <w:r>
      <w:fldChar w:fldCharType="begin"/>
    </w:r>
    <w:r>
      <w:instrText xml:space="preserve"> STYLEREF  标准文件_文件编号  \* MERGEFORMAT </w:instrText>
    </w:r>
    <w:r>
      <w:fldChar w:fldCharType="separate"/>
    </w:r>
    <w:r>
      <w:t>DB3502/T XXXX—XXXX</w:t>
    </w:r>
    <w: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NotDisplayPageBoundaries w:val="1"/>
  <w:embedSystem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2A30BB1"/>
    <w:rsid w:val="05341DD6"/>
    <w:rsid w:val="05B747B5"/>
    <w:rsid w:val="05FF3218"/>
    <w:rsid w:val="061267FD"/>
    <w:rsid w:val="08B62AEB"/>
    <w:rsid w:val="09DE12BD"/>
    <w:rsid w:val="0A3269FD"/>
    <w:rsid w:val="0BD96213"/>
    <w:rsid w:val="0CCE683D"/>
    <w:rsid w:val="10256E20"/>
    <w:rsid w:val="10742405"/>
    <w:rsid w:val="11AB78C4"/>
    <w:rsid w:val="124D44D7"/>
    <w:rsid w:val="13916645"/>
    <w:rsid w:val="139B643B"/>
    <w:rsid w:val="140B4870"/>
    <w:rsid w:val="14EE2572"/>
    <w:rsid w:val="1BEC485F"/>
    <w:rsid w:val="1C6E39C8"/>
    <w:rsid w:val="1D447BAD"/>
    <w:rsid w:val="21453DA1"/>
    <w:rsid w:val="22A30BB1"/>
    <w:rsid w:val="232B1007"/>
    <w:rsid w:val="25DF1FAF"/>
    <w:rsid w:val="263C179C"/>
    <w:rsid w:val="27E406CD"/>
    <w:rsid w:val="288E4F21"/>
    <w:rsid w:val="28EF7C3E"/>
    <w:rsid w:val="2BC058C2"/>
    <w:rsid w:val="304A5341"/>
    <w:rsid w:val="3089250D"/>
    <w:rsid w:val="3121259E"/>
    <w:rsid w:val="31A50FE7"/>
    <w:rsid w:val="330A5266"/>
    <w:rsid w:val="35EF1BC5"/>
    <w:rsid w:val="39995925"/>
    <w:rsid w:val="3ACA388C"/>
    <w:rsid w:val="3B9D352A"/>
    <w:rsid w:val="3C6A6E82"/>
    <w:rsid w:val="3CFB4A21"/>
    <w:rsid w:val="3D2776B6"/>
    <w:rsid w:val="3D31760F"/>
    <w:rsid w:val="405A1F99"/>
    <w:rsid w:val="434C4063"/>
    <w:rsid w:val="458C5157"/>
    <w:rsid w:val="45EC7FF0"/>
    <w:rsid w:val="46AA1F9B"/>
    <w:rsid w:val="46D75B13"/>
    <w:rsid w:val="46FA5CA9"/>
    <w:rsid w:val="47B34B2D"/>
    <w:rsid w:val="4825794A"/>
    <w:rsid w:val="49617102"/>
    <w:rsid w:val="496E1A56"/>
    <w:rsid w:val="49B605A1"/>
    <w:rsid w:val="4AC3497E"/>
    <w:rsid w:val="4BB66E09"/>
    <w:rsid w:val="4D70198D"/>
    <w:rsid w:val="4E200370"/>
    <w:rsid w:val="4E337479"/>
    <w:rsid w:val="4E8406DF"/>
    <w:rsid w:val="4F1F7A7F"/>
    <w:rsid w:val="51FC6863"/>
    <w:rsid w:val="524359EC"/>
    <w:rsid w:val="5324507B"/>
    <w:rsid w:val="53771DB3"/>
    <w:rsid w:val="55FF6E63"/>
    <w:rsid w:val="56986E12"/>
    <w:rsid w:val="5B291293"/>
    <w:rsid w:val="5C0772E7"/>
    <w:rsid w:val="5CDD5A24"/>
    <w:rsid w:val="5D7D59B6"/>
    <w:rsid w:val="5E7576FB"/>
    <w:rsid w:val="5F3A627B"/>
    <w:rsid w:val="5F41229A"/>
    <w:rsid w:val="5FD827DA"/>
    <w:rsid w:val="5FE80D3E"/>
    <w:rsid w:val="602D5222"/>
    <w:rsid w:val="63222102"/>
    <w:rsid w:val="648468B7"/>
    <w:rsid w:val="655171AB"/>
    <w:rsid w:val="66E665C5"/>
    <w:rsid w:val="69B823E1"/>
    <w:rsid w:val="6A700F39"/>
    <w:rsid w:val="6B1F4351"/>
    <w:rsid w:val="6B99781F"/>
    <w:rsid w:val="72E25326"/>
    <w:rsid w:val="735C42EF"/>
    <w:rsid w:val="748C1DB2"/>
    <w:rsid w:val="74D7080F"/>
    <w:rsid w:val="780B4DAC"/>
    <w:rsid w:val="790939D1"/>
    <w:rsid w:val="7A34733A"/>
    <w:rsid w:val="7A8247C9"/>
    <w:rsid w:val="7B51340D"/>
    <w:rsid w:val="7FD015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400" w:lineRule="exact"/>
      <w:jc w:val="both"/>
    </w:pPr>
    <w:rPr>
      <w:rFonts w:ascii="Calibri" w:hAnsi="Calibri" w:eastAsia="宋体" w:cs="Times New Roman"/>
      <w:kern w:val="2"/>
      <w:sz w:val="21"/>
      <w:szCs w:val="21"/>
      <w:lang w:val="en-US" w:eastAsia="zh-CN" w:bidi="ar-SA"/>
    </w:rPr>
  </w:style>
  <w:style w:type="paragraph" w:styleId="2">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3">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character" w:default="1" w:styleId="13">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4">
    <w:name w:val="annotation text"/>
    <w:basedOn w:val="1"/>
    <w:qFormat/>
    <w:uiPriority w:val="0"/>
    <w:pPr>
      <w:jc w:val="left"/>
    </w:pPr>
  </w:style>
  <w:style w:type="paragraph" w:styleId="5">
    <w:name w:val="Body Text"/>
    <w:basedOn w:val="1"/>
    <w:semiHidden/>
    <w:qFormat/>
    <w:uiPriority w:val="0"/>
    <w:rPr>
      <w:rFonts w:ascii="宋体" w:hAnsi="宋体" w:eastAsia="宋体" w:cs="宋体"/>
      <w:sz w:val="21"/>
      <w:szCs w:val="21"/>
      <w:lang w:val="en-US" w:eastAsia="en-US" w:bidi="ar-SA"/>
    </w:rPr>
  </w:style>
  <w:style w:type="paragraph" w:styleId="6">
    <w:name w:val="toc 3"/>
    <w:basedOn w:val="1"/>
    <w:next w:val="1"/>
    <w:unhideWhenUsed/>
    <w:qFormat/>
    <w:uiPriority w:val="39"/>
    <w:pPr>
      <w:spacing w:line="300" w:lineRule="exact"/>
      <w:ind w:left="420"/>
    </w:pPr>
    <w:rPr>
      <w:rFonts w:ascii="宋体"/>
    </w:rPr>
  </w:style>
  <w:style w:type="paragraph" w:styleId="7">
    <w:name w:val="footer"/>
    <w:basedOn w:val="1"/>
    <w:qFormat/>
    <w:uiPriority w:val="99"/>
    <w:pPr>
      <w:tabs>
        <w:tab w:val="center" w:pos="4153"/>
        <w:tab w:val="right" w:pos="8306"/>
      </w:tabs>
      <w:adjustRightInd/>
      <w:snapToGrid w:val="0"/>
      <w:spacing w:line="240" w:lineRule="auto"/>
      <w:jc w:val="right"/>
    </w:pPr>
    <w:rPr>
      <w:rFonts w:ascii="宋体"/>
      <w:sz w:val="18"/>
      <w:szCs w:val="18"/>
    </w:rPr>
  </w:style>
  <w:style w:type="paragraph" w:styleId="8">
    <w:name w:val="header"/>
    <w:basedOn w:val="1"/>
    <w:qFormat/>
    <w:uiPriority w:val="99"/>
    <w:pPr>
      <w:tabs>
        <w:tab w:val="center" w:pos="4153"/>
        <w:tab w:val="right" w:pos="8306"/>
      </w:tabs>
      <w:adjustRightInd/>
      <w:snapToGrid w:val="0"/>
      <w:jc w:val="center"/>
    </w:pPr>
    <w:rPr>
      <w:sz w:val="18"/>
      <w:szCs w:val="18"/>
    </w:rPr>
  </w:style>
  <w:style w:type="paragraph" w:styleId="9">
    <w:name w:val="toc 1"/>
    <w:basedOn w:val="1"/>
    <w:next w:val="1"/>
    <w:unhideWhenUsed/>
    <w:qFormat/>
    <w:uiPriority w:val="39"/>
    <w:rPr>
      <w:rFonts w:ascii="宋体"/>
    </w:rPr>
  </w:style>
  <w:style w:type="paragraph" w:styleId="10">
    <w:name w:val="toc 2"/>
    <w:basedOn w:val="1"/>
    <w:next w:val="1"/>
    <w:unhideWhenUsed/>
    <w:qFormat/>
    <w:uiPriority w:val="39"/>
    <w:pPr>
      <w:tabs>
        <w:tab w:val="right" w:leader="dot" w:pos="9344"/>
      </w:tabs>
      <w:spacing w:line="300" w:lineRule="exact"/>
      <w:ind w:left="210"/>
    </w:pPr>
    <w:rPr>
      <w:rFonts w:ascii="宋体"/>
    </w:rPr>
  </w:style>
  <w:style w:type="table" w:styleId="12">
    <w:name w:val="Table Grid"/>
    <w:basedOn w:val="1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Strong"/>
    <w:basedOn w:val="13"/>
    <w:qFormat/>
    <w:uiPriority w:val="0"/>
    <w:rPr>
      <w:b/>
    </w:rPr>
  </w:style>
  <w:style w:type="character" w:styleId="15">
    <w:name w:val="Hyperlink"/>
    <w:qFormat/>
    <w:uiPriority w:val="99"/>
    <w:rPr>
      <w:rFonts w:ascii="宋体" w:hAnsi="Times New Roman" w:eastAsia="宋体"/>
      <w:color w:val="auto"/>
      <w:spacing w:val="0"/>
      <w:w w:val="100"/>
      <w:position w:val="0"/>
      <w:sz w:val="21"/>
      <w:u w:val="none"/>
      <w:vertAlign w:val="baseline"/>
    </w:rPr>
  </w:style>
  <w:style w:type="character" w:styleId="16">
    <w:name w:val="annotation reference"/>
    <w:basedOn w:val="13"/>
    <w:semiHidden/>
    <w:qFormat/>
    <w:uiPriority w:val="99"/>
    <w:rPr>
      <w:rFonts w:cs="Times New Roman"/>
      <w:sz w:val="21"/>
    </w:rPr>
  </w:style>
  <w:style w:type="paragraph" w:customStyle="1" w:styleId="17">
    <w:name w:val="标准标志"/>
    <w:next w:val="1"/>
    <w:qFormat/>
    <w:uiPriority w:val="0"/>
    <w:pPr>
      <w:framePr w:w="2268" w:h="1392" w:hRule="exact" w:wrap="around" w:vAnchor="margin" w:hAnchor="margin" w:x="6748" w:y="171" w:anchorLock="1"/>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18">
    <w:name w:val="标准称谓"/>
    <w:next w:val="1"/>
    <w:qFormat/>
    <w:uiPriority w:val="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eastAsia="宋体" w:cs="Times New Roman"/>
      <w:b/>
      <w:bCs/>
      <w:w w:val="148"/>
      <w:sz w:val="52"/>
      <w:lang w:val="en-US" w:eastAsia="zh-CN" w:bidi="ar-SA"/>
    </w:rPr>
  </w:style>
  <w:style w:type="paragraph" w:customStyle="1" w:styleId="19">
    <w:name w:val="标准文件_文件编号"/>
    <w:basedOn w:val="20"/>
    <w:qFormat/>
    <w:uiPriority w:val="0"/>
    <w:pPr>
      <w:framePr w:w="9356" w:h="624" w:hRule="exact" w:hSpace="181" w:vSpace="181" w:wrap="around" w:vAnchor="page" w:hAnchor="page" w:x="1419" w:y="3284"/>
      <w:wordWrap w:val="0"/>
      <w:spacing w:line="280" w:lineRule="exact"/>
      <w:ind w:firstLine="0" w:firstLineChars="0"/>
      <w:jc w:val="right"/>
    </w:pPr>
    <w:rPr>
      <w:rFonts w:ascii="黑体" w:eastAsia="黑体"/>
      <w:bCs/>
      <w:sz w:val="28"/>
      <w:szCs w:val="28"/>
    </w:rPr>
  </w:style>
  <w:style w:type="paragraph" w:customStyle="1" w:styleId="20">
    <w:name w:val="标准文件_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21">
    <w:name w:val="标准文件_替换文件编号"/>
    <w:basedOn w:val="19"/>
    <w:qFormat/>
    <w:uiPriority w:val="0"/>
    <w:pPr>
      <w:framePr w:wrap="around"/>
      <w:spacing w:before="57"/>
    </w:pPr>
    <w:rPr>
      <w:sz w:val="21"/>
    </w:rPr>
  </w:style>
  <w:style w:type="paragraph" w:customStyle="1" w:styleId="22">
    <w:name w:val="标准文件_文件名称"/>
    <w:basedOn w:val="20"/>
    <w:next w:val="20"/>
    <w:qFormat/>
    <w:uiPriority w:val="0"/>
    <w:pPr>
      <w:framePr w:w="9639" w:h="6976" w:hRule="exact" w:wrap="around" w:vAnchor="page" w:hAnchor="page" w:y="6408"/>
      <w:autoSpaceDE/>
      <w:autoSpaceDN/>
      <w:spacing w:line="700" w:lineRule="exact"/>
      <w:ind w:firstLine="0" w:firstLineChars="0"/>
      <w:jc w:val="center"/>
    </w:pPr>
    <w:rPr>
      <w:rFonts w:ascii="黑体" w:hAnsi="黑体" w:eastAsia="黑体"/>
      <w:bCs/>
      <w:sz w:val="52"/>
    </w:rPr>
  </w:style>
  <w:style w:type="paragraph" w:customStyle="1" w:styleId="23">
    <w:name w:val="封面标准英文名称"/>
    <w:qFormat/>
    <w:uiPriority w:val="0"/>
    <w:pPr>
      <w:widowControl w:val="0"/>
      <w:spacing w:line="360" w:lineRule="exact"/>
      <w:jc w:val="center"/>
    </w:pPr>
    <w:rPr>
      <w:rFonts w:ascii="Times New Roman" w:hAnsi="Times New Roman" w:eastAsia="宋体" w:cs="Times New Roman"/>
      <w:sz w:val="28"/>
      <w:lang w:val="en-US" w:eastAsia="zh-CN" w:bidi="ar-SA"/>
    </w:rPr>
  </w:style>
  <w:style w:type="paragraph" w:customStyle="1" w:styleId="24">
    <w:name w:val="其他发布日期"/>
    <w:basedOn w:val="25"/>
    <w:qFormat/>
    <w:uiPriority w:val="0"/>
    <w:pPr>
      <w:framePr w:w="3997" w:h="471" w:hRule="exact" w:hSpace="0" w:vSpace="181" w:wrap="around" w:vAnchor="page" w:hAnchor="page" w:x="1419" w:y="14097"/>
    </w:pPr>
  </w:style>
  <w:style w:type="paragraph" w:customStyle="1" w:styleId="25">
    <w:name w:val="发布日期"/>
    <w:qFormat/>
    <w:uiPriority w:val="0"/>
    <w:pPr>
      <w:framePr w:w="4000" w:h="473" w:hRule="exact"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26">
    <w:name w:val="其他实施日期"/>
    <w:basedOn w:val="27"/>
    <w:qFormat/>
    <w:uiPriority w:val="0"/>
    <w:pPr>
      <w:framePr w:w="3997" w:h="471" w:hRule="exact" w:vSpace="181" w:wrap="around" w:vAnchor="page" w:hAnchor="page" w:x="7089" w:y="14097"/>
    </w:pPr>
  </w:style>
  <w:style w:type="paragraph" w:customStyle="1" w:styleId="27">
    <w:name w:val="实施日期"/>
    <w:basedOn w:val="25"/>
    <w:qFormat/>
    <w:uiPriority w:val="0"/>
    <w:pPr>
      <w:framePr w:hSpace="0" w:wrap="around" w:xAlign="right"/>
      <w:jc w:val="right"/>
    </w:pPr>
  </w:style>
  <w:style w:type="paragraph" w:customStyle="1" w:styleId="28">
    <w:name w:val="其他发布部门"/>
    <w:basedOn w:val="29"/>
    <w:qFormat/>
    <w:uiPriority w:val="0"/>
    <w:pPr>
      <w:framePr w:wrap="around"/>
      <w:spacing w:line="0" w:lineRule="atLeast"/>
    </w:pPr>
    <w:rPr>
      <w:rFonts w:ascii="黑体" w:eastAsia="黑体"/>
      <w:b w:val="0"/>
    </w:rPr>
  </w:style>
  <w:style w:type="paragraph" w:customStyle="1" w:styleId="29">
    <w:name w:val="发布部门"/>
    <w:next w:val="20"/>
    <w:qFormat/>
    <w:uiPriority w:val="0"/>
    <w:pPr>
      <w:framePr w:w="7433" w:h="585" w:hRule="exact" w:hSpace="180" w:vSpace="180" w:wrap="around" w:vAnchor="margin" w:hAnchor="margin" w:xAlign="center" w:y="14401" w:anchorLock="1"/>
      <w:jc w:val="center"/>
    </w:pPr>
    <w:rPr>
      <w:rFonts w:ascii="宋体" w:hAnsi="Times New Roman" w:eastAsia="宋体" w:cs="Times New Roman"/>
      <w:b/>
      <w:w w:val="135"/>
      <w:sz w:val="36"/>
      <w:lang w:val="en-US" w:eastAsia="zh-CN" w:bidi="ar-SA"/>
    </w:rPr>
  </w:style>
  <w:style w:type="character" w:customStyle="1" w:styleId="30">
    <w:name w:val="发布"/>
    <w:basedOn w:val="13"/>
    <w:qFormat/>
    <w:uiPriority w:val="0"/>
    <w:rPr>
      <w:rFonts w:ascii="黑体" w:eastAsia="黑体"/>
      <w:spacing w:val="85"/>
      <w:w w:val="100"/>
      <w:position w:val="3"/>
      <w:sz w:val="28"/>
      <w:szCs w:val="28"/>
    </w:rPr>
  </w:style>
  <w:style w:type="paragraph" w:customStyle="1" w:styleId="31">
    <w:name w:val="标准文件_目录标题"/>
    <w:basedOn w:val="1"/>
    <w:qFormat/>
    <w:uiPriority w:val="0"/>
    <w:pPr>
      <w:spacing w:after="150" w:afterLines="150" w:line="240" w:lineRule="auto"/>
      <w:jc w:val="center"/>
    </w:pPr>
    <w:rPr>
      <w:rFonts w:ascii="黑体" w:eastAsia="黑体"/>
      <w:sz w:val="32"/>
    </w:rPr>
  </w:style>
  <w:style w:type="paragraph" w:customStyle="1" w:styleId="32">
    <w:name w:val="标准文件_页眉奇数页"/>
    <w:next w:val="1"/>
    <w:qFormat/>
    <w:uiPriority w:val="0"/>
    <w:pPr>
      <w:tabs>
        <w:tab w:val="center" w:pos="4154"/>
        <w:tab w:val="right" w:pos="8306"/>
      </w:tabs>
      <w:spacing w:after="120"/>
      <w:jc w:val="right"/>
    </w:pPr>
    <w:rPr>
      <w:rFonts w:ascii="黑体" w:hAnsi="宋体" w:eastAsia="黑体" w:cs="Times New Roman"/>
      <w:sz w:val="21"/>
      <w:lang w:val="en-US" w:eastAsia="zh-CN" w:bidi="ar-SA"/>
    </w:rPr>
  </w:style>
  <w:style w:type="paragraph" w:customStyle="1" w:styleId="33">
    <w:name w:val="标准文件_页脚奇数页"/>
    <w:qFormat/>
    <w:uiPriority w:val="0"/>
    <w:pPr>
      <w:ind w:right="227"/>
      <w:jc w:val="right"/>
    </w:pPr>
    <w:rPr>
      <w:rFonts w:ascii="宋体" w:hAnsi="Times New Roman" w:eastAsia="宋体" w:cs="Times New Roman"/>
      <w:sz w:val="18"/>
      <w:lang w:val="en-US" w:eastAsia="zh-CN" w:bidi="ar-SA"/>
    </w:rPr>
  </w:style>
  <w:style w:type="paragraph" w:customStyle="1" w:styleId="34">
    <w:name w:val="样式1"/>
    <w:basedOn w:val="3"/>
    <w:qFormat/>
    <w:uiPriority w:val="0"/>
    <w:rPr>
      <w:color w:val="000000"/>
    </w:rPr>
  </w:style>
  <w:style w:type="paragraph" w:customStyle="1" w:styleId="35">
    <w:name w:val="表格样式"/>
    <w:basedOn w:val="1"/>
    <w:qFormat/>
    <w:uiPriority w:val="0"/>
    <w:pPr>
      <w:suppressAutoHyphens/>
      <w:adjustRightInd/>
      <w:jc w:val="center"/>
    </w:pPr>
    <w:rPr>
      <w:rFonts w:ascii="Times New Roman" w:hAnsi="Times New Roman"/>
      <w:color w:val="000000"/>
      <w:sz w:val="22"/>
    </w:rPr>
  </w:style>
  <w:style w:type="paragraph" w:customStyle="1" w:styleId="36">
    <w:name w:val="表头"/>
    <w:basedOn w:val="1"/>
    <w:qFormat/>
    <w:uiPriority w:val="0"/>
    <w:pPr>
      <w:jc w:val="center"/>
    </w:pPr>
    <w:rPr>
      <w:b/>
      <w:kern w:val="0"/>
      <w:szCs w:val="20"/>
    </w:rPr>
  </w:style>
  <w:style w:type="paragraph" w:customStyle="1" w:styleId="37">
    <w:name w:val="表格文字"/>
    <w:basedOn w:val="1"/>
    <w:qFormat/>
    <w:uiPriority w:val="0"/>
    <w:pPr>
      <w:jc w:val="center"/>
    </w:pPr>
    <w:rPr>
      <w:kern w:val="0"/>
      <w:szCs w:val="20"/>
    </w:rPr>
  </w:style>
  <w:style w:type="paragraph" w:customStyle="1" w:styleId="38">
    <w:name w:val="Table Text"/>
    <w:basedOn w:val="1"/>
    <w:semiHidden/>
    <w:qFormat/>
    <w:uiPriority w:val="0"/>
    <w:rPr>
      <w:rFonts w:ascii="宋体" w:hAnsi="宋体" w:eastAsia="宋体" w:cs="宋体"/>
      <w:sz w:val="21"/>
      <w:szCs w:val="21"/>
      <w:lang w:val="en-US" w:eastAsia="en-US" w:bidi="ar-SA"/>
    </w:rPr>
  </w:style>
  <w:style w:type="table" w:customStyle="1" w:styleId="39">
    <w:name w:val="Table Normal"/>
    <w:semiHidden/>
    <w:unhideWhenUsed/>
    <w:qFormat/>
    <w:uiPriority w:val="0"/>
    <w:tblPr>
      <w:tblCellMar>
        <w:top w:w="0" w:type="dxa"/>
        <w:left w:w="0" w:type="dxa"/>
        <w:bottom w:w="0" w:type="dxa"/>
        <w:right w:w="0" w:type="dxa"/>
      </w:tblCellMar>
    </w:tblPr>
  </w:style>
  <w:style w:type="paragraph" w:customStyle="1" w:styleId="40">
    <w:name w:val="样式 样式 规范条文正文-5-21 + 段前: 0.3 行 段后: 0.2 行1 + 段前: 0.3 行 段后: 0.2 行"/>
    <w:qFormat/>
    <w:uiPriority w:val="0"/>
    <w:pPr>
      <w:widowControl w:val="0"/>
      <w:spacing w:before="30" w:after="20" w:line="360" w:lineRule="auto"/>
      <w:jc w:val="both"/>
      <w:outlineLvl w:val="3"/>
    </w:pPr>
    <w:rPr>
      <w:rFonts w:ascii="Times New Roman" w:hAnsi="Times New Roman" w:eastAsia="Times New Roman" w:cs="Times New Roman"/>
      <w:color w:val="000000"/>
      <w:kern w:val="2"/>
      <w:sz w:val="24"/>
      <w:szCs w:val="24"/>
      <w:u w:color="000000"/>
      <w:lang w:val="zh-TW" w:eastAsia="zh-TW" w:bidi="ar-SA"/>
    </w:rPr>
  </w:style>
  <w:style w:type="character" w:customStyle="1" w:styleId="41">
    <w:name w:val="无"/>
    <w:qFormat/>
    <w:uiPriority w:val="0"/>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tiff"/><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43</Pages>
  <Words>5733</Words>
  <Characters>6485</Characters>
  <Lines>0</Lines>
  <Paragraphs>0</Paragraphs>
  <TotalTime>2</TotalTime>
  <ScaleCrop>false</ScaleCrop>
  <LinksUpToDate>false</LinksUpToDate>
  <CharactersWithSpaces>6753</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2025-02-06T09:27:00Z</dcterms:created>
  <dc:creator>白云书生</dc:creator>
  <cp:lastModifiedBy>白云书生</cp:lastModifiedBy>
  <dcterms:modified xsi:type="dcterms:W3CDTF">2025-06-05T01:11:09Z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338ECDA93F50432DAB64BDDAFFAE0E3E_13</vt:lpwstr>
  </property>
  <property fmtid="{D5CDD505-2E9C-101B-9397-08002B2CF9AE}" pid="4" name="KSOTemplateDocerSaveRecord">
    <vt:lpwstr>eyJoZGlkIjoiNTY2NWUxOTBkMTdjZTY0ZDZmYzc0ZmJmNTU4ZTY1MWQiLCJ1c2VySWQiOiI4MDIxNzY5ODQifQ==</vt:lpwstr>
  </property>
</Properties>
</file>