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hint="default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厦门市市场监管系统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知识产权行政保护典型案例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313" w:after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同安区市场监管局查处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福建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某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建设集团公司商标侵权案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600" w:firstLineChars="200"/>
        <w:textAlignment w:val="auto"/>
        <w:rPr>
          <w:rFonts w:hAnsi="楷体_GB2312" w:cs="楷体_GB2312"/>
          <w:b w:val="0"/>
          <w:bCs w:val="0"/>
          <w:spacing w:val="-2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案情简介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600" w:firstLineChars="200"/>
        <w:textAlignment w:val="auto"/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第3899617号</w:t>
      </w:r>
      <w:r>
        <w:rPr>
          <w:rFonts w:hint="eastAsia" w:ascii="仿宋_GB2312" w:eastAsia="仿宋_GB2312"/>
          <w:b w:val="0"/>
          <w:bCs w:val="0"/>
          <w:sz w:val="30"/>
          <w:szCs w:val="30"/>
        </w:rPr>
        <w:t>“</w:t>
      </w:r>
      <w:r>
        <w:rPr>
          <w:rFonts w:hint="eastAsia" w:ascii="仿宋_GB2312" w:eastAsia="仿宋_GB2312"/>
          <w:b w:val="0"/>
          <w:bCs w:val="0"/>
          <w:sz w:val="30"/>
          <w:szCs w:val="30"/>
          <w:lang w:eastAsia="zh-CN"/>
        </w:rPr>
        <w:t>柯勒</w:t>
      </w:r>
      <w:r>
        <w:rPr>
          <w:rFonts w:hint="eastAsia" w:ascii="仿宋_GB2312" w:eastAsia="仿宋_GB2312"/>
          <w:b w:val="0"/>
          <w:bCs w:val="0"/>
          <w:sz w:val="30"/>
          <w:szCs w:val="30"/>
        </w:rPr>
        <w:t>”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商标是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深圳市领先康体实业有限公司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在第19类“建筑材料”商品上的注册商标，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商标专用期限为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2016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年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6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月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28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日至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2026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年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6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月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27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日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600" w:firstLineChars="200"/>
        <w:textAlignment w:val="auto"/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2023年5月15日</w:t>
      </w:r>
      <w:r>
        <w:rPr>
          <w:rFonts w:hint="eastAsia" w:ascii="仿宋_GB2312" w:eastAsia="仿宋_GB2312"/>
          <w:b w:val="0"/>
          <w:bCs w:val="0"/>
          <w:sz w:val="30"/>
          <w:szCs w:val="30"/>
          <w:lang w:eastAsia="zh-CN"/>
        </w:rPr>
        <w:t>，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同安区市场监督管理局在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深圳市领先康体实业有限公司的配合下，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依法对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厦门市同安区竹坝路139号的</w:t>
      </w:r>
      <w:r>
        <w:rPr>
          <w:rFonts w:hint="eastAsia" w:ascii="仿宋_GB2312" w:eastAsia="仿宋_GB2312"/>
          <w:b w:val="0"/>
          <w:bCs w:val="0"/>
          <w:sz w:val="30"/>
          <w:szCs w:val="30"/>
          <w:lang w:eastAsia="zh-CN"/>
        </w:rPr>
        <w:t>厦门市中小学生综合实践基地二期项目工地实施现场检查，在主题馆门口发现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10件运动木地板，每块木地板表面均印有“柯勒体育运动木地板”“柯勒”字样。经查，</w:t>
      </w:r>
      <w:r>
        <w:rPr>
          <w:rFonts w:hint="eastAsia" w:ascii="仿宋_GB2312" w:eastAsia="仿宋_GB2312"/>
          <w:b w:val="0"/>
          <w:bCs w:val="0"/>
          <w:sz w:val="30"/>
          <w:szCs w:val="30"/>
          <w:lang w:eastAsia="zh-CN"/>
        </w:rPr>
        <w:t>厦门市中小学生综合实践基地项目代建方为</w:t>
      </w:r>
      <w:r>
        <w:rPr>
          <w:rFonts w:hint="eastAsia" w:ascii="仿宋_GB2312" w:eastAsia="仿宋_GB2312"/>
          <w:b w:val="0"/>
          <w:bCs w:val="0"/>
          <w:sz w:val="30"/>
          <w:szCs w:val="30"/>
        </w:rPr>
        <w:t>福建</w:t>
      </w:r>
      <w:r>
        <w:rPr>
          <w:rFonts w:hint="eastAsia" w:ascii="仿宋_GB2312" w:eastAsia="仿宋_GB2312"/>
          <w:b w:val="0"/>
          <w:bCs w:val="0"/>
          <w:sz w:val="30"/>
          <w:szCs w:val="30"/>
          <w:lang w:eastAsia="zh-CN"/>
        </w:rPr>
        <w:t>某</w:t>
      </w:r>
      <w:r>
        <w:rPr>
          <w:rFonts w:hint="eastAsia" w:ascii="仿宋_GB2312" w:eastAsia="仿宋_GB2312"/>
          <w:b w:val="0"/>
          <w:bCs w:val="0"/>
          <w:sz w:val="30"/>
          <w:szCs w:val="30"/>
        </w:rPr>
        <w:t>建设集团有限公司</w:t>
      </w:r>
      <w:r>
        <w:rPr>
          <w:rFonts w:hint="eastAsia" w:ascii="仿宋_GB2312" w:eastAsia="仿宋_GB2312"/>
          <w:b w:val="0"/>
          <w:bCs w:val="0"/>
          <w:sz w:val="30"/>
          <w:szCs w:val="30"/>
          <w:lang w:eastAsia="zh-CN"/>
        </w:rPr>
        <w:t>，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主题馆主体工程已完工，现场木地板拟用于主题馆地面装饰。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深圳市领先康体实业有限公司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工作人员鉴定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现场木地板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系假冒侵权产品。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600" w:firstLineChars="200"/>
        <w:textAlignment w:val="auto"/>
        <w:rPr>
          <w:rFonts w:hint="default" w:ascii="仿宋_GB2312" w:eastAsia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eastAsia="仿宋_GB2312" w:cs="Times New Roman"/>
          <w:b w:val="0"/>
          <w:bCs w:val="0"/>
          <w:sz w:val="30"/>
          <w:szCs w:val="30"/>
          <w:lang w:val="en-US" w:eastAsia="zh-CN"/>
        </w:rPr>
        <w:t>经查，涉案运动木地板系当事人</w:t>
      </w:r>
      <w:r>
        <w:rPr>
          <w:rFonts w:hint="eastAsia" w:ascii="仿宋_GB2312" w:eastAsia="仿宋_GB2312"/>
          <w:b w:val="0"/>
          <w:bCs w:val="0"/>
          <w:sz w:val="30"/>
          <w:szCs w:val="30"/>
        </w:rPr>
        <w:t>福建</w:t>
      </w:r>
      <w:r>
        <w:rPr>
          <w:rFonts w:hint="eastAsia" w:ascii="仿宋_GB2312" w:eastAsia="仿宋_GB2312"/>
          <w:b w:val="0"/>
          <w:bCs w:val="0"/>
          <w:sz w:val="30"/>
          <w:szCs w:val="30"/>
          <w:lang w:eastAsia="zh-CN"/>
        </w:rPr>
        <w:t>某</w:t>
      </w:r>
      <w:r>
        <w:rPr>
          <w:rFonts w:hint="eastAsia" w:ascii="仿宋_GB2312" w:eastAsia="仿宋_GB2312"/>
          <w:b w:val="0"/>
          <w:bCs w:val="0"/>
          <w:sz w:val="30"/>
          <w:szCs w:val="30"/>
        </w:rPr>
        <w:t>建设集团有限公司</w:t>
      </w:r>
      <w:r>
        <w:rPr>
          <w:rFonts w:hint="eastAsia" w:ascii="仿宋_GB2312" w:eastAsia="仿宋_GB2312" w:cs="Times New Roman"/>
          <w:b w:val="0"/>
          <w:bCs w:val="0"/>
          <w:sz w:val="30"/>
          <w:szCs w:val="30"/>
          <w:lang w:val="en-US" w:eastAsia="zh-CN"/>
        </w:rPr>
        <w:t>经中间商介绍，于2023年3月上旬从湖州南浔某木业有限公司购进的，进货价总计人民币415800元，已支付定金人民币100000元。当事人提供了涉案木地板的供应商营业执照、采购合同、合格证、检验报告、定金发票及《建设工程施工合同》等证据材料，但无法提供关于“柯勒”商标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注册证、商标授权使用证明等材料。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当事人还提供了与中间商的微信聊天记录截图，证明其向中间商询问木地板真伪及索要合格证、检验报告的事实。当事人还于2023年8月16日向办案人员提交了两份木地板检测报告，其中一份送检日期为2023年4月3日，当事人委托健研检测集团有限公司对购货商邮寄的样品进行检测，结果显示样品等级为B2(D)，当事人称其需要的是B1(C)等级的运动木地板，故供货商再次邮寄样品，当事人于2023年4月24日再次委托检测，结果显示样品等级为B1(C)。这些事实证明当事人不知道购进的木地板是商标侵权商品，且能证明木地板是自己合法取得并能说明提供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600" w:firstLineChars="200"/>
        <w:textAlignment w:val="auto"/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厦门市同安区市场监督管理局认定</w:t>
      </w:r>
      <w:r>
        <w:rPr>
          <w:rFonts w:hint="eastAsia" w:ascii="仿宋_GB2312" w:eastAsia="仿宋_GB2312"/>
          <w:b w:val="0"/>
          <w:bCs w:val="0"/>
          <w:sz w:val="30"/>
          <w:szCs w:val="30"/>
        </w:rPr>
        <w:t>福建九鼎建设集团有限公司销售</w:t>
      </w:r>
      <w:r>
        <w:rPr>
          <w:rFonts w:hint="eastAsia" w:ascii="仿宋_GB2312" w:eastAsia="仿宋_GB2312"/>
          <w:b w:val="0"/>
          <w:bCs w:val="0"/>
          <w:sz w:val="30"/>
          <w:szCs w:val="30"/>
          <w:lang w:eastAsia="zh-CN"/>
        </w:rPr>
        <w:t>涉案运动木地板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构成商标侵权行为。</w:t>
      </w:r>
      <w:r>
        <w:rPr>
          <w:rFonts w:hint="eastAsia" w:ascii="仿宋_GB2312" w:eastAsia="仿宋_GB2312" w:cs="Times New Roman"/>
          <w:b w:val="0"/>
          <w:bCs w:val="0"/>
          <w:sz w:val="30"/>
          <w:szCs w:val="30"/>
          <w:lang w:val="en-US" w:eastAsia="zh-CN"/>
        </w:rPr>
        <w:t>依据《中华人民共和国商标法》第六十条第二款、《中华人民共和国商标法实施条例》第七十九条的规定，责令</w:t>
      </w:r>
      <w:r>
        <w:rPr>
          <w:rFonts w:hint="eastAsia" w:ascii="仿宋_GB2312" w:eastAsia="仿宋_GB2312"/>
          <w:b w:val="0"/>
          <w:bCs w:val="0"/>
          <w:sz w:val="30"/>
          <w:szCs w:val="30"/>
        </w:rPr>
        <w:t>福建九鼎建设集团有限公司</w:t>
      </w:r>
      <w:r>
        <w:rPr>
          <w:rFonts w:hint="eastAsia" w:ascii="仿宋_GB2312" w:eastAsia="仿宋_GB2312" w:cs="Times New Roman"/>
          <w:b w:val="0"/>
          <w:bCs w:val="0"/>
          <w:sz w:val="30"/>
          <w:szCs w:val="30"/>
          <w:lang w:val="en-US" w:eastAsia="zh-CN"/>
        </w:rPr>
        <w:t>停止销售侵权商品，并作出不予行政处罚的决定。</w:t>
      </w:r>
      <w:r>
        <w:rPr>
          <w:rFonts w:hint="eastAsia" w:ascii="仿宋_GB2312" w:eastAsia="仿宋_GB2312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依据</w:t>
      </w:r>
      <w:r>
        <w:rPr>
          <w:rFonts w:hint="eastAsia" w:ascii="仿宋_GB2312" w:eastAsia="仿宋_GB2312" w:cs="Times New Roman"/>
          <w:b w:val="0"/>
          <w:bCs w:val="0"/>
          <w:sz w:val="30"/>
          <w:szCs w:val="30"/>
          <w:lang w:val="en-US" w:eastAsia="zh-CN"/>
        </w:rPr>
        <w:t>《</w:t>
      </w:r>
      <w:r>
        <w:rPr>
          <w:rFonts w:hint="default" w:ascii="仿宋_GB2312" w:eastAsia="仿宋_GB2312" w:cs="Times New Roman"/>
          <w:b w:val="0"/>
          <w:bCs w:val="0"/>
          <w:sz w:val="30"/>
          <w:szCs w:val="30"/>
          <w:lang w:val="en-US" w:eastAsia="zh-CN"/>
        </w:rPr>
        <w:t>市场监督管理行政处罚程序规定</w:t>
      </w:r>
      <w:r>
        <w:rPr>
          <w:rFonts w:hint="eastAsia" w:ascii="仿宋_GB2312" w:eastAsia="仿宋_GB2312" w:cs="Times New Roman"/>
          <w:b w:val="0"/>
          <w:bCs w:val="0"/>
          <w:sz w:val="30"/>
          <w:szCs w:val="30"/>
          <w:lang w:val="en-US" w:eastAsia="zh-CN"/>
        </w:rPr>
        <w:t>》第七条的规定，将案件线索移送供货商所在地的湖州市南浔区市场监督管理局，该局办案人员到场对涉案木地板进行扣押，同时进一步将案件线索移送当地公安部门。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湖州市公安局南浔分局对供货商假冒注册商标案进行立案侦查。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600" w:firstLineChars="200"/>
        <w:textAlignment w:val="auto"/>
        <w:rPr>
          <w:rFonts w:hAnsi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典型意义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600" w:firstLineChars="200"/>
        <w:textAlignment w:val="auto"/>
        <w:rPr>
          <w:b w:val="0"/>
          <w:bCs w:val="0"/>
          <w:sz w:val="30"/>
          <w:szCs w:val="30"/>
        </w:rPr>
      </w:pPr>
      <w:r>
        <w:rPr>
          <w:rFonts w:hint="eastAsia" w:ascii="仿宋_GB2312" w:hAnsi="Times New Roman" w:eastAsia="仿宋_GB2312" w:cs="Times New Roman"/>
          <w:color w:val="0D0D0D" w:themeColor="text1" w:themeTint="F2"/>
          <w:kern w:val="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案是典型的工程领域商标侵权案件，办案单位从销售环节入手，有效掌握侵权商品生产、运输、销售全链条证据，及时对侵权商品进行追根溯源并移送相关线索，是跨省合作、行刑衔接的一次有效实践。对销售环节的当事人，由于能够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证明该商品是自己合法取得并能说明提供者，办案单位作出不予行政处罚的决定，充分体现了市场监管部门包容审慎的执法理念。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T Extr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EEF7AD5"/>
    <w:rsid w:val="13FF12AE"/>
    <w:rsid w:val="351B6A29"/>
    <w:rsid w:val="40F419FB"/>
    <w:rsid w:val="51681B55"/>
    <w:rsid w:val="57DD2E41"/>
    <w:rsid w:val="6CBFECF7"/>
    <w:rsid w:val="76FEF5E6"/>
    <w:rsid w:val="7B7FB6AF"/>
    <w:rsid w:val="7DFB36AF"/>
    <w:rsid w:val="7F4704BE"/>
    <w:rsid w:val="C9FF01E8"/>
    <w:rsid w:val="DEEF7AD5"/>
    <w:rsid w:val="E376D089"/>
    <w:rsid w:val="E977C412"/>
    <w:rsid w:val="FDE78B81"/>
    <w:rsid w:val="FEAB05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Acetate"/>
    <w:basedOn w:val="1"/>
    <w:semiHidden/>
    <w:qFormat/>
    <w:uiPriority w:val="0"/>
    <w:pPr>
      <w:jc w:val="both"/>
      <w:textAlignment w:val="baseline"/>
    </w:pPr>
    <w:rPr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Office_12.8.2.15107_F1E327BC-269C-435d-A152-05C5408002CA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2023-11-17T10:58:00Z</dcterms:created>
  <dc:creator>xmsj</dc:creator>
  <cp:lastModifiedBy>陈黎明</cp:lastModifiedBy>
  <cp:lastPrinted>2024-04-18T16:35:00Z</cp:lastPrinted>
  <dcterms:modified xsi:type="dcterms:W3CDTF">2024-04-25T13:15:53Z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2052-12.8.2.15107</vt:lpwstr>
  </property>
  <property fmtid="{D5CDD505-2E9C-101B-9397-08002B2CF9AE}" pid="3" name="ICV">
    <vt:lpwstr>8BCBA7FC66F4AAE8D751166621C71D66_43</vt:lpwstr>
  </property>
</Properties>
</file>