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楷体" w:hAnsi="楷体" w:eastAsia="楷体" w:cs="楷体"/>
          <w:b w:val="0"/>
          <w:bCs w:val="0"/>
          <w:sz w:val="30"/>
          <w:szCs w:val="30"/>
          <w:lang w:val="en-US" w:eastAsia="zh-CN"/>
        </w:rPr>
      </w:pPr>
      <w:r>
        <w:rPr>
          <w:rFonts w:hint="eastAsia" w:ascii="楷体" w:hAnsi="楷体" w:eastAsia="楷体" w:cs="楷体"/>
          <w:b w:val="0"/>
          <w:bCs w:val="0"/>
          <w:sz w:val="30"/>
          <w:szCs w:val="30"/>
          <w:lang w:eastAsia="zh-CN"/>
        </w:rPr>
        <w:t>厦门市市场监管系统</w:t>
      </w:r>
      <w:r>
        <w:rPr>
          <w:rFonts w:hint="eastAsia" w:ascii="楷体" w:hAnsi="楷体" w:eastAsia="楷体" w:cs="楷体"/>
          <w:b w:val="0"/>
          <w:bCs w:val="0"/>
          <w:sz w:val="30"/>
          <w:szCs w:val="30"/>
        </w:rPr>
        <w:t>知识产权行政保护典型案例</w:t>
      </w:r>
      <w:r>
        <w:rPr>
          <w:rFonts w:hint="eastAsia" w:ascii="楷体" w:hAnsi="楷体" w:eastAsia="楷体" w:cs="楷体"/>
          <w:b w:val="0"/>
          <w:bCs w:val="0"/>
          <w:sz w:val="30"/>
          <w:szCs w:val="30"/>
          <w:lang w:val="en-US" w:eastAsia="zh-CN"/>
        </w:rPr>
        <w:t>7</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240" w:lineRule="auto"/>
        <w:jc w:val="center"/>
        <w:textAlignment w:val="auto"/>
        <w:rPr>
          <w:rFonts w:hint="eastAsia" w:ascii="方正小标宋简体" w:hAnsi="方正小标宋简体" w:eastAsia="方正小标宋简体" w:cs="方正小标宋简体"/>
          <w:b w:val="0"/>
          <w:bCs w:val="0"/>
          <w:sz w:val="28"/>
          <w:szCs w:val="28"/>
        </w:rPr>
      </w:pPr>
      <w:bookmarkStart w:id="0" w:name="_GoBack"/>
      <w:r>
        <w:rPr>
          <w:rFonts w:hint="eastAsia" w:ascii="方正小标宋简体" w:hAnsi="方正小标宋简体" w:eastAsia="方正小标宋简体" w:cs="方正小标宋简体"/>
          <w:b w:val="0"/>
          <w:bCs w:val="0"/>
          <w:sz w:val="28"/>
          <w:szCs w:val="28"/>
          <w:lang w:eastAsia="zh-CN"/>
        </w:rPr>
        <w:t>思明区市场监管局查处厦门某达电子商务有限公司商标侵权案</w:t>
      </w:r>
    </w:p>
    <w:bookmarkEnd w:id="0"/>
    <w:p>
      <w:pPr>
        <w:keepNext w:val="0"/>
        <w:keepLines w:val="0"/>
        <w:pageBreakBefore w:val="0"/>
        <w:widowControl w:val="0"/>
        <w:kinsoku/>
        <w:wordWrap/>
        <w:overflowPunct/>
        <w:topLinePunct w:val="0"/>
        <w:autoSpaceDE/>
        <w:autoSpaceDN/>
        <w:bidi w:val="0"/>
        <w:adjustRightInd w:val="0"/>
        <w:snapToGrid w:val="0"/>
        <w:spacing w:after="0" w:line="300" w:lineRule="auto"/>
        <w:ind w:firstLine="560" w:firstLineChars="200"/>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一、案情简介</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根据举报线索，思明区市场监管局执法人员对当事人厦门某达电子商务有限公司经营场所进行现场检查，发现</w:t>
      </w:r>
      <w:r>
        <w:rPr>
          <w:rFonts w:hint="eastAsia" w:ascii="仿宋_GB2312" w:eastAsia="仿宋_GB2312" w:cstheme="minorBidi"/>
          <w:kern w:val="2"/>
          <w:sz w:val="28"/>
          <w:szCs w:val="28"/>
          <w:lang w:val="en-US" w:eastAsia="zh-CN" w:bidi="ar-SA"/>
        </w:rPr>
        <w:t>各类商标标识超过10种，数量超过11万个，服装超过1000件。</w:t>
      </w:r>
      <w:r>
        <w:rPr>
          <w:rFonts w:hint="eastAsia" w:ascii="仿宋_GB2312" w:eastAsia="仿宋_GB2312"/>
          <w:sz w:val="28"/>
          <w:szCs w:val="28"/>
          <w:lang w:val="en-US" w:eastAsia="zh-CN"/>
        </w:rPr>
        <w:t>根据《中华人民共和国商标法》第六十二条第一款第（四）项，执法人员依法对当事人经营场所内</w:t>
      </w:r>
      <w:r>
        <w:rPr>
          <w:rFonts w:hint="eastAsia" w:ascii="仿宋_GB2312" w:eastAsia="仿宋_GB2312" w:cstheme="minorBidi"/>
          <w:kern w:val="2"/>
          <w:sz w:val="28"/>
          <w:szCs w:val="28"/>
          <w:lang w:val="en-US" w:eastAsia="zh-CN" w:bidi="ar-SA"/>
        </w:rPr>
        <w:t>用于制造假冒注册商标的工具、材料、计算机和侵权商品依法予以查扣</w:t>
      </w:r>
      <w:r>
        <w:rPr>
          <w:rFonts w:hint="eastAsia" w:ascii="仿宋_GB2312" w:eastAsia="仿宋_GB2312"/>
          <w:sz w:val="28"/>
          <w:szCs w:val="28"/>
          <w:lang w:val="en-US" w:eastAsia="zh-CN"/>
        </w:rPr>
        <w:t>，并予以立案调查。经相关商标权利人委托代理人的鉴别辨认，当事人经营场所内的22件带有“CHANEL”品牌标识的服装、303件带有“MIU MIU”品牌标识的服装、4件带有“BURBERRY”品牌标识的服装、82件带有“Dior”品牌标识的服装、53件带有“CELINE”品牌标识的服装和消费者退回的快递包裹内的135件带有“MIU MIU”商标标识的服装、215件带有“Dior”商标标识的服装、14件带有“CHANEL”商标标识的服装、42件带有“CELINE”商标标识的服装属于侵犯相关注册商标专用权的商品。</w:t>
      </w:r>
    </w:p>
    <w:p>
      <w:pPr>
        <w:keepNext w:val="0"/>
        <w:keepLines w:val="0"/>
        <w:pageBreakBefore w:val="0"/>
        <w:widowControl w:val="0"/>
        <w:kinsoku/>
        <w:wordWrap/>
        <w:overflowPunct/>
        <w:topLinePunct w:val="0"/>
        <w:autoSpaceDE/>
        <w:autoSpaceDN/>
        <w:bidi w:val="0"/>
        <w:adjustRightInd/>
        <w:snapToGrid w:val="0"/>
        <w:spacing w:line="300" w:lineRule="auto"/>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根据淘宝平台协查回来的经营数据及现场查获的商品数量，查明当事人违法经营额超过43万元。根据《中华人民共和国商标法》第六十一条和《行政执法机关移送涉嫌犯罪案件的规定》第三条第一款的规定，将本案移送公安机关依法处理。</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firstLine="560" w:firstLineChars="200"/>
        <w:textAlignment w:val="auto"/>
        <w:rPr>
          <w:rFonts w:hint="eastAsia" w:ascii="仿宋_GB2312" w:eastAsia="仿宋_GB2312"/>
          <w:sz w:val="28"/>
          <w:szCs w:val="28"/>
          <w:lang w:val="en-US" w:eastAsia="zh-CN"/>
        </w:rPr>
      </w:pPr>
      <w:r>
        <w:rPr>
          <w:rFonts w:hint="eastAsia" w:ascii="黑体" w:hAnsi="黑体" w:eastAsia="黑体" w:cs="黑体"/>
          <w:sz w:val="28"/>
          <w:szCs w:val="28"/>
          <w:lang w:val="en-US" w:eastAsia="zh-CN"/>
        </w:rPr>
        <w:t>二、典型意义</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firstLine="562" w:firstLineChars="200"/>
        <w:textAlignment w:val="auto"/>
        <w:rPr>
          <w:rFonts w:hint="eastAsia" w:ascii="仿宋_GB2312" w:eastAsia="仿宋_GB2312" w:cstheme="minorBidi"/>
          <w:kern w:val="2"/>
          <w:sz w:val="28"/>
          <w:szCs w:val="28"/>
          <w:lang w:val="en-US" w:eastAsia="zh-CN" w:bidi="ar-SA"/>
        </w:rPr>
      </w:pPr>
      <w:r>
        <w:rPr>
          <w:rFonts w:hint="eastAsia" w:ascii="楷体_GB2312" w:hAnsi="楷体_GB2312" w:eastAsia="楷体_GB2312" w:cs="楷体_GB2312"/>
          <w:b/>
          <w:bCs/>
          <w:kern w:val="2"/>
          <w:sz w:val="28"/>
          <w:szCs w:val="28"/>
          <w:lang w:val="en-US" w:eastAsia="zh-CN" w:bidi="ar-SA"/>
        </w:rPr>
        <w:t>（一）素质过硬，敏锐发现违法行为。</w:t>
      </w:r>
      <w:r>
        <w:rPr>
          <w:rFonts w:hint="eastAsia" w:ascii="仿宋_GB2312" w:eastAsia="仿宋_GB2312" w:cstheme="minorBidi"/>
          <w:kern w:val="2"/>
          <w:sz w:val="28"/>
          <w:szCs w:val="28"/>
          <w:lang w:val="en-US" w:eastAsia="zh-CN" w:bidi="ar-SA"/>
        </w:rPr>
        <w:t>本案举报线索并非案件当事人但指向当事人生产现场。在检查时，当事人的员工否认违法行为，但执法人员敏锐发现该场所内展示及储存的服装多为国际知名品牌，正品售价少则几千多则几万，其销售模式不常理，存在很大疑点。进一步深入检查发现现场存在大量注册商标的标识，且有专门用来缝附商标的电动缝纫机及员工。办案人员立即向上级请示加派人员对现场进行进一步核查和取证，进而锁定本案违法行为事实。</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firstLine="562" w:firstLineChars="200"/>
        <w:textAlignment w:val="auto"/>
        <w:rPr>
          <w:rFonts w:hint="eastAsia" w:ascii="仿宋_GB2312" w:eastAsia="仿宋_GB2312" w:cstheme="minorBidi"/>
          <w:kern w:val="2"/>
          <w:sz w:val="28"/>
          <w:szCs w:val="28"/>
          <w:lang w:val="en-US" w:eastAsia="zh-CN" w:bidi="ar-SA"/>
        </w:rPr>
      </w:pPr>
      <w:r>
        <w:rPr>
          <w:rFonts w:hint="eastAsia" w:ascii="楷体_GB2312" w:hAnsi="楷体_GB2312" w:eastAsia="楷体_GB2312" w:cs="楷体_GB2312"/>
          <w:b/>
          <w:bCs/>
          <w:kern w:val="2"/>
          <w:sz w:val="28"/>
          <w:szCs w:val="28"/>
          <w:lang w:val="en-US" w:eastAsia="zh-CN" w:bidi="ar-SA"/>
        </w:rPr>
        <w:t>（二）多方协作，促进案情水落石出。</w:t>
      </w:r>
      <w:r>
        <w:rPr>
          <w:rFonts w:hint="eastAsia" w:ascii="仿宋_GB2312" w:eastAsia="仿宋_GB2312" w:cstheme="minorBidi"/>
          <w:kern w:val="2"/>
          <w:sz w:val="28"/>
          <w:szCs w:val="28"/>
          <w:lang w:val="en-US" w:eastAsia="zh-CN" w:bidi="ar-SA"/>
        </w:rPr>
        <w:t>本案来源于为杭州移送线索，是厦门市查获的少有的从生产到销售全链条的侵权行为。现场各类商标标识超过10种，数量超过11万个，服装超过1000件。在检查现场，执法人员初步判断该案有涉嫌犯罪的重大嫌疑，立刻联系公安机关，由公安机关派出办案人员，现场共同商定对案件的调查方向和现场取证，对当事人用于制造假冒注册商标的工具、材料、计算机和侵权商品依法予以查扣。在调查非法经营额时，余杭区市行监管局积极协查天猫平台提供涉案网店的经营数据。</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firstLine="562" w:firstLineChars="200"/>
        <w:textAlignment w:val="auto"/>
        <w:rPr>
          <w:rFonts w:hint="eastAsia" w:ascii="仿宋_GB2312" w:eastAsia="仿宋_GB2312" w:cstheme="minorBidi"/>
          <w:kern w:val="2"/>
          <w:sz w:val="28"/>
          <w:szCs w:val="28"/>
          <w:lang w:val="en-US" w:eastAsia="zh-CN" w:bidi="ar-SA"/>
        </w:rPr>
      </w:pPr>
      <w:r>
        <w:rPr>
          <w:rFonts w:hint="eastAsia" w:ascii="楷体_GB2312" w:hAnsi="楷体_GB2312" w:eastAsia="楷体_GB2312" w:cs="楷体_GB2312"/>
          <w:b/>
          <w:bCs/>
          <w:kern w:val="2"/>
          <w:sz w:val="28"/>
          <w:szCs w:val="28"/>
          <w:lang w:val="en-US" w:eastAsia="zh-CN" w:bidi="ar-SA"/>
        </w:rPr>
        <w:t>（三）抽丝剥茧，从庞大的网店数据中筛查出违法信息。</w:t>
      </w:r>
      <w:r>
        <w:rPr>
          <w:rFonts w:hint="eastAsia" w:ascii="仿宋_GB2312" w:eastAsia="仿宋_GB2312" w:cstheme="minorBidi"/>
          <w:kern w:val="2"/>
          <w:sz w:val="28"/>
          <w:szCs w:val="28"/>
          <w:lang w:val="en-US" w:eastAsia="zh-CN" w:bidi="ar-SA"/>
        </w:rPr>
        <w:t>在调查非法经营额时，因涉案网店数量多达21家，涉案服装款式更是很难计数，且网店上的商品并未直接表明品牌名称，无法确定商品ID，无法查清销售价格，给调查取证带来了极大困扰。办案人员通过分析女性服装类网店的经营特性，判断此类网店经常会出现较大比例的退换货，只要检查退货包裹，案情自然真相大白。经多次与余杭区市行监管局进行充分沟通后，让天猫平台提供了主要的两家网店在2023年2月的全部销售数据，再结合查获的快递面单上的信息，与消费者电话联系进行比对确认，从而确认了部分涉案商品ID、单价、销售数量，为后续的非法经营额计算提供了有力支撑。通过随机抽查退回包裹，拆开后里面的服装均是带有侵权商标标识，且与现场发现的标识相吻合，进一步查实当事人侵犯注册商标专用权的违法行为。</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firstLine="562" w:firstLineChars="200"/>
        <w:textAlignment w:val="auto"/>
        <w:rPr>
          <w:rFonts w:hint="eastAsia" w:ascii="仿宋_GB2312" w:eastAsia="仿宋_GB2312"/>
          <w:sz w:val="28"/>
          <w:szCs w:val="28"/>
          <w:lang w:val="en-US" w:eastAsia="zh-CN"/>
        </w:rPr>
      </w:pPr>
      <w:r>
        <w:rPr>
          <w:rFonts w:hint="eastAsia" w:ascii="楷体_GB2312" w:hAnsi="楷体_GB2312" w:eastAsia="楷体_GB2312" w:cs="楷体_GB2312"/>
          <w:b/>
          <w:bCs/>
          <w:kern w:val="2"/>
          <w:sz w:val="28"/>
          <w:szCs w:val="28"/>
          <w:lang w:val="en-US" w:eastAsia="zh-CN" w:bidi="ar-SA"/>
        </w:rPr>
        <w:t>（四）多方寻找商标权利人辨认，为本案的侵权定性提供关键证据。</w:t>
      </w:r>
      <w:r>
        <w:rPr>
          <w:rFonts w:hint="eastAsia" w:ascii="仿宋_GB2312" w:eastAsia="仿宋_GB2312" w:cstheme="minorBidi"/>
          <w:kern w:val="2"/>
          <w:sz w:val="28"/>
          <w:szCs w:val="28"/>
          <w:lang w:val="en-US" w:eastAsia="zh-CN" w:bidi="ar-SA"/>
        </w:rPr>
        <w:t>案涉商品侵权商标均为国际知名品牌，数量众多，在查找商标权利人鉴别辨认时，办案人员通过官网留言、其他商标代理机构同行等多种路径找到商标权利人予以鉴别辨认。针对商标权利人无法到现场进行直接鉴别的，经充分沟通后，最终采取通过拍照取证线上辨认的形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MT Extra">
    <w:panose1 w:val="05050102010205020202"/>
    <w:charset w:val="00"/>
    <w:family w:val="auto"/>
    <w:pitch w:val="default"/>
    <w:sig w:usb0="80000000" w:usb1="00000000" w:usb2="00000000" w:usb3="00000000" w:csb0="000003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FE4AC4"/>
    <w:rsid w:val="2FF30BDD"/>
    <w:rsid w:val="54C33FD6"/>
    <w:rsid w:val="69FF60A6"/>
    <w:rsid w:val="757F1E6A"/>
    <w:rsid w:val="79FC918B"/>
    <w:rsid w:val="7ADBDD32"/>
    <w:rsid w:val="7E583AF1"/>
    <w:rsid w:val="7FF624EC"/>
    <w:rsid w:val="97F5AFB5"/>
    <w:rsid w:val="EBF514C8"/>
    <w:rsid w:val="F25F5FB1"/>
    <w:rsid w:val="F3E98E8F"/>
    <w:rsid w:val="F9F7A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100" w:leftChars="100" w:firstLine="560" w:firstLineChars="200"/>
    </w:pPr>
    <w:rPr>
      <w:rFonts w:asciiTheme="minorHAnsi" w:hAnsiTheme="minorHAnsi" w:eastAsiaTheme="minorEastAsia" w:cstheme="minorBidi"/>
      <w:kern w:val="0"/>
      <w:sz w:val="28"/>
    </w:rPr>
  </w:style>
  <w:style w:type="table" w:styleId="4">
    <w:name w:val="Table Grid"/>
    <w:basedOn w:val="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2050</Words>
  <Characters>2120</Characters>
  <Lines>0</Lines>
  <Paragraphs>0</Paragraphs>
  <TotalTime>29</TotalTime>
  <ScaleCrop>false</ScaleCrop>
  <LinksUpToDate>false</LinksUpToDate>
  <CharactersWithSpaces>2122</CharactersWithSpaces>
  <Application>WPS Office_12.8.2.15107_F1E327BC-269C-435d-A152-05C5408002CA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2024-04-17T04:01:00Z</dcterms:created>
  <dc:creator>dell01</dc:creator>
  <cp:lastModifiedBy>陈黎明</cp:lastModifiedBy>
  <cp:lastPrinted>2024-04-18T19:10:00Z</cp:lastPrinted>
  <dcterms:modified xsi:type="dcterms:W3CDTF">2024-04-25T13:11:16Z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2052-12.8.2.15107</vt:lpwstr>
  </property>
  <property fmtid="{D5CDD505-2E9C-101B-9397-08002B2CF9AE}" pid="3" name="ICV">
    <vt:lpwstr>A0F07E15D47D9B0EA3331E66F45D21E3_43</vt:lpwstr>
  </property>
</Properties>
</file>