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bookmarkEnd w:id="0"/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度厦门市重点扶持知识产权维权工作站绩效考评资助经费</w:t>
            </w:r>
          </w:p>
        </w:tc>
        <w:tc>
          <w:tcPr>
            <w:tcW w:w="209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名称（盖公章）：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银行帐号：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联系电话：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>
      <w:pPr>
        <w:spacing w:afterLines="50"/>
        <w:jc w:val="left"/>
        <w:rPr>
          <w:rFonts w:ascii="仿宋_GB2312" w:eastAsia="仿宋_GB231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6300" w:csb1="78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2 -</w:t>
    </w:r>
    <w:r>
      <w:rPr>
        <w:rFonts w:ascii="Batang" w:hAnsi="Batang" w:eastAsia="Batang"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BCBCFA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Office_12.8.2.15107_F1E327BC-269C-435d-A152-05C5408002CA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xmsj</cp:lastModifiedBy>
  <dcterms:modified xsi:type="dcterms:W3CDTF">2025-03-04T15:50:52Z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2052-12.8.2.15107</vt:lpwstr>
  </property>
  <property fmtid="{D5CDD505-2E9C-101B-9397-08002B2CF9AE}" pid="3" name="ICV">
    <vt:lpwstr>6E045A7D532F7EE3DCB0C66788780663_42</vt:lpwstr>
  </property>
</Properties>
</file>