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imes New Roman"/>
          <w:sz w:val="32"/>
          <w:szCs w:val="28"/>
        </w:rPr>
      </w:pPr>
      <w:r>
        <w:rPr>
          <w:rFonts w:ascii="仿宋_GB2312" w:hAnsi="宋体" w:eastAsia="仿宋_GB2312" w:cs="Times New Roman"/>
          <w:sz w:val="32"/>
          <w:szCs w:val="28"/>
        </w:rPr>
        <w:t>附件</w:t>
      </w:r>
      <w:r>
        <w:rPr>
          <w:rFonts w:hint="eastAsia" w:ascii="仿宋_GB2312" w:hAnsi="宋体" w:eastAsia="仿宋_GB2312" w:cs="Times New Roman"/>
          <w:sz w:val="32"/>
          <w:szCs w:val="28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480" w:lineRule="exact"/>
        <w:jc w:val="center"/>
        <w:textAlignment w:val="auto"/>
        <w:rPr>
          <w:rFonts w:ascii="仿宋_GB2312" w:hAnsi="Calibri" w:eastAsia="仿宋_GB2312" w:cs="Times New Roman"/>
          <w:sz w:val="32"/>
          <w:szCs w:val="28"/>
        </w:rPr>
      </w:pPr>
      <w:bookmarkStart w:id="0" w:name="_Hlk178147139"/>
      <w:bookmarkStart w:id="1" w:name="_GoBack"/>
      <w:r>
        <w:rPr>
          <w:rFonts w:hint="eastAsia" w:ascii="方正小标宋_GBK" w:hAnsi="方正小标宋_GBK" w:eastAsia="方正小标宋_GBK" w:cs="方正小标宋_GBK"/>
          <w:sz w:val="32"/>
          <w:szCs w:val="28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28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28"/>
        </w:rPr>
        <w:t>年知识产权专业技术人员</w:t>
      </w:r>
      <w:bookmarkEnd w:id="0"/>
      <w:r>
        <w:rPr>
          <w:rFonts w:hint="eastAsia" w:ascii="方正小标宋_GBK" w:hAnsi="方正小标宋_GBK" w:eastAsia="方正小标宋_GBK" w:cs="方正小标宋_GBK"/>
          <w:sz w:val="32"/>
          <w:szCs w:val="28"/>
        </w:rPr>
        <w:t>远程教育培训班开课科目</w:t>
      </w:r>
      <w:bookmarkEnd w:id="1"/>
    </w:p>
    <w:p>
      <w:pPr>
        <w:rPr>
          <w:rFonts w:hint="eastAsia"/>
        </w:rPr>
      </w:pPr>
    </w:p>
    <w:tbl>
      <w:tblPr>
        <w:tblStyle w:val="16"/>
        <w:tblpPr w:leftFromText="180" w:rightFromText="180" w:vertAnchor="text" w:tblpY="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98"/>
        <w:gridCol w:w="269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培训课程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授课教师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专利转化运用促进高质量发展（福建）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王牌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知识产权保护与风险防控（福建）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罗贵斌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民法典中的知识产权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张永华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专利法第四次修改情况介绍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杨红菊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《企业知识产权合规管理体系要求》国家标准解读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徐俊峰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知识产权全链条保护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付明星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企业知识产权维护与保护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安筱琼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数据产权与知识产权保护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梁雨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跨境电商知识产权保护工作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许谅亮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知识产权司法保护体系介绍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穆颖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专利开放许可制度介绍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方华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知识产权公共服务普惠工程介绍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吕亮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知识产权信息传播利用和信息公共服务产品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吕亮、王波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知识产权公共服务人才能力提升系列-知识产权信息管理与检索技巧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张佰鹏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知识产权公共服务人才能力提升系列-知识产权分析评议实务及案例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汪勇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商标一般违法判断标准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肖聂尊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商标恶意抢注的预防与应对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宁立志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驰名商标认定和保护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肖聂尊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《商标代理监督管理规定》解读——商标申请及审查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么勇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加强地理标志保护 推动特色产业发展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杨永岗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地理标志助力乡村振兴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刘杰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企业商业秘密管理实务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张永华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专利转化政策解读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马斌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知识产权成果转移转化之知识产权基础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范敬熙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知识产权成果转移转化之技术转移基础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范敬熙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知识产权运用人才能力提升系列-知识产权质押融资实务与案例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刘伍堂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数实深度融合 助力高质量发展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邢悦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马德里商标国际注册申请（2024）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杨林立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PCT国际申请基础知识系列课程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张莉丽、刘芸、潘文娟、于建华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知识产权海外维权系列-国际贸易中的知识产权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李明德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知识产权海外维权系列-全球主要法域商标审判案例解析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30"/>
                <w:szCs w:val="30"/>
              </w:rPr>
              <w:t>张鹏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0B"/>
    <w:rsid w:val="00082DC9"/>
    <w:rsid w:val="001F17C9"/>
    <w:rsid w:val="00274D0B"/>
    <w:rsid w:val="00385C0F"/>
    <w:rsid w:val="003A3E4E"/>
    <w:rsid w:val="0054098B"/>
    <w:rsid w:val="005F257B"/>
    <w:rsid w:val="00602106"/>
    <w:rsid w:val="00623247"/>
    <w:rsid w:val="00685807"/>
    <w:rsid w:val="009C1F20"/>
    <w:rsid w:val="00A905C1"/>
    <w:rsid w:val="00AA011A"/>
    <w:rsid w:val="00B00A69"/>
    <w:rsid w:val="00C8101D"/>
    <w:rsid w:val="00DA559A"/>
    <w:rsid w:val="00E45C0B"/>
    <w:rsid w:val="659C6CC7"/>
    <w:rsid w:val="C77E3CA8"/>
    <w:rsid w:val="F77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746</Characters>
  <Lines>6</Lines>
  <Paragraphs>1</Paragraphs>
  <TotalTime>3</TotalTime>
  <ScaleCrop>false</ScaleCrop>
  <LinksUpToDate>false</LinksUpToDate>
  <CharactersWithSpaces>875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2025-07-16T18:16:00Z</dcterms:created>
  <dc:creator>iris guo</dc:creator>
  <cp:lastModifiedBy>xmsj</cp:lastModifiedBy>
  <dcterms:modified xsi:type="dcterms:W3CDTF">2025-07-17T08:23:09Z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